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hAnsi="Times New Roman" w:eastAsia="华文中宋" w:cs="Times New Roman"/>
          <w:b w:val="0"/>
          <w:sz w:val="44"/>
          <w:szCs w:val="44"/>
        </w:rPr>
      </w:pPr>
      <w:bookmarkStart w:id="0" w:name="_Toc498519773"/>
      <w:bookmarkStart w:id="1" w:name="_Toc498299303"/>
      <w:r>
        <w:rPr>
          <w:rFonts w:ascii="Times New Roman" w:hAnsi="Times New Roman" w:eastAsia="华文中宋" w:cs="Times New Roman"/>
          <w:b w:val="0"/>
          <w:sz w:val="44"/>
          <w:szCs w:val="44"/>
        </w:rPr>
        <w:t>金属冶炼建设项目</w:t>
      </w:r>
    </w:p>
    <w:p>
      <w:pPr>
        <w:pStyle w:val="24"/>
        <w:rPr>
          <w:rFonts w:ascii="Times New Roman" w:hAnsi="Times New Roman" w:eastAsia="华文中宋" w:cs="Times New Roman"/>
          <w:b w:val="0"/>
          <w:sz w:val="44"/>
          <w:szCs w:val="44"/>
        </w:rPr>
      </w:pPr>
      <w:r>
        <w:rPr>
          <w:rFonts w:ascii="Times New Roman" w:hAnsi="Times New Roman" w:eastAsia="华文中宋" w:cs="Times New Roman"/>
          <w:b w:val="0"/>
          <w:sz w:val="44"/>
          <w:szCs w:val="44"/>
        </w:rPr>
        <w:t>安全</w:t>
      </w:r>
      <w:r>
        <w:rPr>
          <w:rFonts w:hint="eastAsia" w:ascii="Times New Roman" w:hAnsi="Times New Roman" w:eastAsia="华文中宋" w:cs="Times New Roman"/>
          <w:b w:val="0"/>
          <w:sz w:val="44"/>
          <w:szCs w:val="44"/>
        </w:rPr>
        <w:t>设施</w:t>
      </w:r>
      <w:r>
        <w:rPr>
          <w:rFonts w:ascii="Times New Roman" w:hAnsi="Times New Roman" w:eastAsia="华文中宋" w:cs="Times New Roman"/>
          <w:b w:val="0"/>
          <w:sz w:val="44"/>
          <w:szCs w:val="44"/>
        </w:rPr>
        <w:t>验收评价报告编</w:t>
      </w:r>
      <w:r>
        <w:rPr>
          <w:rFonts w:hint="eastAsia" w:ascii="Times New Roman" w:hAnsi="Times New Roman" w:eastAsia="华文中宋" w:cs="Times New Roman"/>
          <w:b w:val="0"/>
          <w:sz w:val="44"/>
          <w:szCs w:val="44"/>
        </w:rPr>
        <w:t>写提纲</w:t>
      </w:r>
    </w:p>
    <w:p>
      <w:pPr>
        <w:spacing w:line="560" w:lineRule="exact"/>
        <w:outlineLvl w:val="0"/>
        <w:rPr>
          <w:rFonts w:eastAsia="黑体"/>
          <w:bCs/>
          <w:sz w:val="32"/>
          <w:szCs w:val="32"/>
        </w:rPr>
      </w:pPr>
    </w:p>
    <w:p>
      <w:pPr>
        <w:spacing w:line="560" w:lineRule="exact"/>
        <w:outlineLvl w:val="0"/>
        <w:rPr>
          <w:rFonts w:eastAsia="黑体"/>
          <w:bCs/>
          <w:sz w:val="32"/>
          <w:szCs w:val="32"/>
        </w:rPr>
      </w:pPr>
      <w:bookmarkStart w:id="2" w:name="_Toc500007119"/>
      <w:r>
        <w:rPr>
          <w:rFonts w:eastAsia="黑体"/>
          <w:bCs/>
          <w:sz w:val="32"/>
          <w:szCs w:val="32"/>
        </w:rPr>
        <w:t>前言</w:t>
      </w:r>
      <w:bookmarkEnd w:id="0"/>
      <w:bookmarkEnd w:id="1"/>
      <w:bookmarkEnd w:id="2"/>
    </w:p>
    <w:p>
      <w:pPr>
        <w:spacing w:line="560" w:lineRule="exact"/>
        <w:ind w:firstLine="640" w:firstLineChars="200"/>
        <w:rPr>
          <w:rFonts w:eastAsia="仿宋_GB2312"/>
          <w:sz w:val="32"/>
          <w:szCs w:val="32"/>
        </w:rPr>
      </w:pPr>
      <w:r>
        <w:rPr>
          <w:rFonts w:eastAsia="仿宋_GB2312"/>
          <w:sz w:val="32"/>
          <w:szCs w:val="32"/>
        </w:rPr>
        <w:t>简述项目的建设背景、项目性质、地理位置及自然条件等基本情况。阐述编制安全</w:t>
      </w:r>
      <w:r>
        <w:rPr>
          <w:rFonts w:hint="eastAsia" w:eastAsia="仿宋_GB2312"/>
          <w:sz w:val="32"/>
          <w:szCs w:val="32"/>
        </w:rPr>
        <w:t>设施</w:t>
      </w:r>
      <w:r>
        <w:rPr>
          <w:rFonts w:eastAsia="仿宋_GB2312"/>
          <w:sz w:val="32"/>
          <w:szCs w:val="32"/>
        </w:rPr>
        <w:t>验收评价报告的目的</w:t>
      </w:r>
      <w:r>
        <w:rPr>
          <w:rFonts w:hint="eastAsia" w:eastAsia="仿宋_GB2312"/>
          <w:sz w:val="32"/>
          <w:szCs w:val="32"/>
        </w:rPr>
        <w:t>、依据、范围及</w:t>
      </w:r>
      <w:r>
        <w:rPr>
          <w:rFonts w:eastAsia="仿宋_GB2312"/>
          <w:sz w:val="32"/>
          <w:szCs w:val="32"/>
        </w:rPr>
        <w:t>评价工作过程等。</w:t>
      </w:r>
    </w:p>
    <w:p>
      <w:pPr>
        <w:spacing w:line="560" w:lineRule="exact"/>
        <w:outlineLvl w:val="0"/>
        <w:rPr>
          <w:rFonts w:eastAsia="黑体"/>
          <w:bCs/>
          <w:sz w:val="32"/>
          <w:szCs w:val="32"/>
        </w:rPr>
      </w:pPr>
      <w:bookmarkStart w:id="3" w:name="_Toc498299304"/>
      <w:bookmarkStart w:id="4" w:name="_Toc500007120"/>
      <w:bookmarkStart w:id="5" w:name="_Toc498519774"/>
      <w:r>
        <w:rPr>
          <w:rFonts w:eastAsia="黑体"/>
          <w:bCs/>
          <w:sz w:val="32"/>
          <w:szCs w:val="32"/>
        </w:rPr>
        <w:t>1.评价说明</w:t>
      </w:r>
      <w:bookmarkEnd w:id="3"/>
      <w:bookmarkEnd w:id="4"/>
      <w:bookmarkEnd w:id="5"/>
    </w:p>
    <w:p>
      <w:pPr>
        <w:spacing w:line="560" w:lineRule="exact"/>
        <w:outlineLvl w:val="1"/>
        <w:rPr>
          <w:rFonts w:eastAsia="黑体"/>
          <w:color w:val="000000"/>
          <w:sz w:val="32"/>
          <w:szCs w:val="32"/>
        </w:rPr>
      </w:pPr>
      <w:bookmarkStart w:id="6" w:name="_Toc498519775"/>
      <w:bookmarkStart w:id="7" w:name="_Toc500007121"/>
      <w:bookmarkStart w:id="8" w:name="_Toc498299305"/>
      <w:r>
        <w:rPr>
          <w:rFonts w:eastAsia="黑体"/>
          <w:color w:val="000000"/>
          <w:sz w:val="32"/>
          <w:szCs w:val="32"/>
        </w:rPr>
        <w:t>1.1评价对象和范围</w:t>
      </w:r>
      <w:bookmarkEnd w:id="6"/>
      <w:bookmarkEnd w:id="7"/>
      <w:bookmarkEnd w:id="8"/>
    </w:p>
    <w:p>
      <w:pPr>
        <w:pStyle w:val="8"/>
        <w:spacing w:line="560" w:lineRule="exact"/>
        <w:ind w:firstLine="640"/>
        <w:rPr>
          <w:rFonts w:eastAsia="仿宋_GB2312"/>
          <w:sz w:val="32"/>
          <w:szCs w:val="32"/>
        </w:rPr>
      </w:pPr>
      <w:r>
        <w:rPr>
          <w:rFonts w:eastAsia="仿宋_GB2312"/>
          <w:sz w:val="32"/>
          <w:szCs w:val="32"/>
        </w:rPr>
        <w:t>根据《安全验收</w:t>
      </w:r>
      <w:r>
        <w:rPr>
          <w:rFonts w:hint="eastAsia" w:eastAsia="仿宋_GB2312"/>
          <w:sz w:val="32"/>
          <w:szCs w:val="32"/>
        </w:rPr>
        <w:t>评价导则</w:t>
      </w:r>
      <w:r>
        <w:rPr>
          <w:rFonts w:eastAsia="仿宋_GB2312"/>
          <w:sz w:val="32"/>
          <w:szCs w:val="32"/>
        </w:rPr>
        <w:t>》</w:t>
      </w:r>
      <w:r>
        <w:rPr>
          <w:rFonts w:hint="eastAsia" w:eastAsia="仿宋_GB2312"/>
          <w:sz w:val="32"/>
          <w:szCs w:val="32"/>
        </w:rPr>
        <w:t>（AQ8003）所规定的</w:t>
      </w:r>
      <w:r>
        <w:rPr>
          <w:rFonts w:eastAsia="仿宋_GB2312"/>
          <w:sz w:val="32"/>
          <w:szCs w:val="32"/>
        </w:rPr>
        <w:t>验收评价</w:t>
      </w:r>
      <w:r>
        <w:rPr>
          <w:rFonts w:hint="eastAsia" w:eastAsia="仿宋_GB2312"/>
          <w:sz w:val="32"/>
          <w:szCs w:val="32"/>
        </w:rPr>
        <w:t>内容要求，</w:t>
      </w:r>
      <w:r>
        <w:rPr>
          <w:rFonts w:eastAsia="仿宋_GB2312"/>
          <w:sz w:val="32"/>
          <w:szCs w:val="32"/>
        </w:rPr>
        <w:t>描述</w:t>
      </w:r>
      <w:r>
        <w:rPr>
          <w:rFonts w:hint="eastAsia" w:eastAsia="仿宋_GB2312"/>
          <w:sz w:val="32"/>
          <w:szCs w:val="32"/>
        </w:rPr>
        <w:t>验收</w:t>
      </w:r>
      <w:r>
        <w:rPr>
          <w:rFonts w:eastAsia="仿宋_GB2312"/>
          <w:sz w:val="32"/>
          <w:szCs w:val="32"/>
        </w:rPr>
        <w:t>评价</w:t>
      </w:r>
      <w:r>
        <w:rPr>
          <w:rFonts w:hint="eastAsia" w:eastAsia="仿宋_GB2312"/>
          <w:sz w:val="32"/>
          <w:szCs w:val="32"/>
        </w:rPr>
        <w:t>的</w:t>
      </w:r>
      <w:r>
        <w:rPr>
          <w:rFonts w:eastAsia="仿宋_GB2312"/>
          <w:sz w:val="32"/>
          <w:szCs w:val="32"/>
        </w:rPr>
        <w:t>对象</w:t>
      </w:r>
      <w:r>
        <w:rPr>
          <w:rFonts w:hint="eastAsia" w:eastAsia="仿宋_GB2312"/>
          <w:sz w:val="32"/>
          <w:szCs w:val="32"/>
        </w:rPr>
        <w:t>和范围。</w:t>
      </w:r>
    </w:p>
    <w:p>
      <w:pPr>
        <w:spacing w:line="560" w:lineRule="exact"/>
        <w:outlineLvl w:val="1"/>
        <w:rPr>
          <w:rFonts w:eastAsia="黑体"/>
          <w:color w:val="000000"/>
          <w:sz w:val="32"/>
          <w:szCs w:val="32"/>
        </w:rPr>
      </w:pPr>
      <w:bookmarkStart w:id="9" w:name="_Toc498519776"/>
      <w:bookmarkStart w:id="10" w:name="_Toc498299306"/>
      <w:bookmarkStart w:id="11" w:name="_Toc500007122"/>
      <w:r>
        <w:rPr>
          <w:rFonts w:eastAsia="黑体"/>
          <w:color w:val="000000"/>
          <w:sz w:val="32"/>
          <w:szCs w:val="32"/>
        </w:rPr>
        <w:t>1.2评价依据</w:t>
      </w:r>
      <w:bookmarkEnd w:id="9"/>
      <w:bookmarkEnd w:id="10"/>
      <w:bookmarkEnd w:id="11"/>
    </w:p>
    <w:p>
      <w:pPr>
        <w:spacing w:line="560" w:lineRule="exact"/>
        <w:outlineLvl w:val="2"/>
        <w:rPr>
          <w:rFonts w:eastAsia="黑体"/>
          <w:bCs/>
          <w:sz w:val="32"/>
          <w:szCs w:val="32"/>
        </w:rPr>
      </w:pPr>
      <w:bookmarkStart w:id="12" w:name="_Toc498519777"/>
      <w:bookmarkStart w:id="13" w:name="_Toc498299307"/>
      <w:bookmarkStart w:id="14" w:name="_Toc500007123"/>
      <w:r>
        <w:rPr>
          <w:rFonts w:eastAsia="黑体"/>
          <w:bCs/>
          <w:sz w:val="32"/>
          <w:szCs w:val="32"/>
        </w:rPr>
        <w:t>1.2.1法律法规、</w:t>
      </w:r>
      <w:r>
        <w:rPr>
          <w:rFonts w:hint="eastAsia" w:eastAsia="黑体"/>
          <w:bCs/>
          <w:sz w:val="32"/>
          <w:szCs w:val="32"/>
        </w:rPr>
        <w:t>部门</w:t>
      </w:r>
      <w:r>
        <w:rPr>
          <w:rFonts w:eastAsia="黑体"/>
          <w:bCs/>
          <w:sz w:val="32"/>
          <w:szCs w:val="32"/>
        </w:rPr>
        <w:t>规章</w:t>
      </w:r>
      <w:bookmarkEnd w:id="12"/>
      <w:bookmarkEnd w:id="13"/>
      <w:bookmarkEnd w:id="14"/>
      <w:r>
        <w:rPr>
          <w:rFonts w:hint="eastAsia" w:eastAsia="黑体"/>
          <w:bCs/>
          <w:sz w:val="32"/>
          <w:szCs w:val="32"/>
        </w:rPr>
        <w:t>及规范性文件</w:t>
      </w:r>
    </w:p>
    <w:p>
      <w:pPr>
        <w:spacing w:line="560" w:lineRule="exact"/>
        <w:ind w:firstLine="640" w:firstLineChars="20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建设项目安全设施验收评价应遵循的现行的有关安全生产法律法规、</w:t>
      </w:r>
      <w:r>
        <w:rPr>
          <w:rFonts w:hint="eastAsia" w:eastAsia="仿宋_GB2312"/>
          <w:sz w:val="32"/>
          <w:szCs w:val="32"/>
        </w:rPr>
        <w:t>部门</w:t>
      </w:r>
      <w:r>
        <w:rPr>
          <w:rFonts w:eastAsia="仿宋_GB2312"/>
          <w:sz w:val="32"/>
          <w:szCs w:val="32"/>
        </w:rPr>
        <w:t>规章</w:t>
      </w:r>
      <w:r>
        <w:rPr>
          <w:rFonts w:hint="eastAsia" w:eastAsia="仿宋_GB2312"/>
          <w:sz w:val="32"/>
          <w:szCs w:val="32"/>
        </w:rPr>
        <w:t>及</w:t>
      </w:r>
      <w:r>
        <w:rPr>
          <w:rFonts w:eastAsia="仿宋_GB2312"/>
          <w:sz w:val="32"/>
          <w:szCs w:val="32"/>
        </w:rPr>
        <w:t>规范性文件，并标注其文号及施行日期。</w:t>
      </w:r>
    </w:p>
    <w:p>
      <w:pPr>
        <w:spacing w:line="560" w:lineRule="exact"/>
        <w:ind w:firstLine="640" w:firstLineChars="200"/>
        <w:rPr>
          <w:rFonts w:eastAsia="仿宋_GB2312"/>
          <w:sz w:val="32"/>
          <w:szCs w:val="32"/>
        </w:rPr>
      </w:pPr>
      <w:r>
        <w:rPr>
          <w:rFonts w:eastAsia="仿宋_GB2312"/>
          <w:sz w:val="32"/>
          <w:szCs w:val="32"/>
        </w:rPr>
        <w:t>每个层次内按发布时间顺序列出，列出的有关法律法规</w:t>
      </w:r>
      <w:r>
        <w:rPr>
          <w:rFonts w:hint="eastAsia" w:eastAsia="仿宋_GB2312"/>
          <w:sz w:val="32"/>
          <w:szCs w:val="32"/>
        </w:rPr>
        <w:t>、部门</w:t>
      </w:r>
      <w:r>
        <w:rPr>
          <w:rFonts w:eastAsia="仿宋_GB2312"/>
          <w:sz w:val="32"/>
          <w:szCs w:val="32"/>
        </w:rPr>
        <w:t>规章</w:t>
      </w:r>
      <w:r>
        <w:rPr>
          <w:rFonts w:hint="eastAsia" w:eastAsia="仿宋_GB2312"/>
          <w:sz w:val="32"/>
          <w:szCs w:val="32"/>
        </w:rPr>
        <w:t>及</w:t>
      </w:r>
      <w:r>
        <w:rPr>
          <w:rFonts w:eastAsia="仿宋_GB2312"/>
          <w:sz w:val="32"/>
          <w:szCs w:val="32"/>
        </w:rPr>
        <w:t>规范性文件应为最新版本，并标注其文号及实施日期，要有针对性和完整性，要有序排列。</w:t>
      </w:r>
    </w:p>
    <w:p>
      <w:pPr>
        <w:spacing w:line="560" w:lineRule="exact"/>
        <w:outlineLvl w:val="2"/>
        <w:rPr>
          <w:rFonts w:eastAsia="黑体"/>
          <w:bCs/>
          <w:sz w:val="32"/>
          <w:szCs w:val="32"/>
        </w:rPr>
      </w:pPr>
      <w:bookmarkStart w:id="15" w:name="_Toc498519778"/>
      <w:bookmarkStart w:id="16" w:name="_Toc500007124"/>
      <w:bookmarkStart w:id="17" w:name="_Toc498299308"/>
      <w:r>
        <w:rPr>
          <w:rFonts w:eastAsia="黑体"/>
          <w:bCs/>
          <w:sz w:val="32"/>
          <w:szCs w:val="32"/>
        </w:rPr>
        <w:t>1.2.2标准</w:t>
      </w:r>
      <w:r>
        <w:rPr>
          <w:rFonts w:hint="eastAsia" w:eastAsia="黑体"/>
          <w:bCs/>
          <w:sz w:val="32"/>
          <w:szCs w:val="32"/>
        </w:rPr>
        <w:t>、</w:t>
      </w:r>
      <w:r>
        <w:rPr>
          <w:rFonts w:eastAsia="黑体"/>
          <w:bCs/>
          <w:sz w:val="32"/>
          <w:szCs w:val="32"/>
        </w:rPr>
        <w:t>规范</w:t>
      </w:r>
      <w:bookmarkEnd w:id="15"/>
      <w:bookmarkEnd w:id="16"/>
      <w:bookmarkEnd w:id="17"/>
    </w:p>
    <w:p>
      <w:pPr>
        <w:spacing w:line="560" w:lineRule="exact"/>
        <w:ind w:firstLine="640" w:firstLineChars="20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建设项目安全设施验收评价应遵循的国家标准、行业标准、地方标准和有关规范。</w:t>
      </w:r>
    </w:p>
    <w:p>
      <w:pPr>
        <w:spacing w:line="560" w:lineRule="exact"/>
        <w:ind w:firstLine="640" w:firstLineChars="200"/>
        <w:rPr>
          <w:rFonts w:eastAsia="仿宋_GB2312"/>
          <w:sz w:val="32"/>
          <w:szCs w:val="32"/>
        </w:rPr>
      </w:pPr>
      <w:r>
        <w:rPr>
          <w:rFonts w:eastAsia="仿宋_GB2312"/>
          <w:sz w:val="32"/>
          <w:szCs w:val="32"/>
        </w:rPr>
        <w:t>按照国家标准、行业标准、地方标准的顺序排列，每个层次内按照发布时间顺序列出。列出的标准</w:t>
      </w:r>
      <w:r>
        <w:rPr>
          <w:rFonts w:hint="eastAsia" w:eastAsia="仿宋_GB2312"/>
          <w:sz w:val="32"/>
          <w:szCs w:val="32"/>
        </w:rPr>
        <w:t>、</w:t>
      </w:r>
      <w:r>
        <w:rPr>
          <w:rFonts w:eastAsia="仿宋_GB2312"/>
          <w:sz w:val="32"/>
          <w:szCs w:val="32"/>
        </w:rPr>
        <w:t>规范应为最新版本，并为现行有效。</w:t>
      </w:r>
    </w:p>
    <w:p>
      <w:pPr>
        <w:spacing w:line="560" w:lineRule="exact"/>
        <w:ind w:firstLine="640" w:firstLineChars="200"/>
        <w:rPr>
          <w:rFonts w:eastAsia="仿宋_GB2312"/>
          <w:sz w:val="32"/>
          <w:szCs w:val="32"/>
        </w:rPr>
      </w:pPr>
      <w:r>
        <w:rPr>
          <w:rFonts w:eastAsia="仿宋_GB2312"/>
          <w:sz w:val="32"/>
          <w:szCs w:val="32"/>
        </w:rPr>
        <w:t>所列标准</w:t>
      </w:r>
      <w:r>
        <w:rPr>
          <w:rFonts w:hint="eastAsia" w:eastAsia="仿宋_GB2312"/>
          <w:sz w:val="32"/>
          <w:szCs w:val="32"/>
        </w:rPr>
        <w:t>、规范</w:t>
      </w:r>
      <w:r>
        <w:rPr>
          <w:rFonts w:eastAsia="仿宋_GB2312"/>
          <w:sz w:val="32"/>
          <w:szCs w:val="32"/>
        </w:rPr>
        <w:t>应与本</w:t>
      </w:r>
      <w:r>
        <w:rPr>
          <w:rFonts w:hint="eastAsia" w:eastAsia="仿宋_GB2312"/>
          <w:sz w:val="32"/>
          <w:szCs w:val="32"/>
        </w:rPr>
        <w:t>金属冶炼</w:t>
      </w:r>
      <w:r>
        <w:rPr>
          <w:rFonts w:eastAsia="仿宋_GB2312"/>
          <w:sz w:val="32"/>
          <w:szCs w:val="32"/>
        </w:rPr>
        <w:t>建设项目的安全生产相关，在报告中没有引用到的标准</w:t>
      </w:r>
      <w:r>
        <w:rPr>
          <w:rFonts w:hint="eastAsia" w:eastAsia="仿宋_GB2312"/>
          <w:sz w:val="32"/>
          <w:szCs w:val="32"/>
        </w:rPr>
        <w:t>、</w:t>
      </w:r>
      <w:r>
        <w:rPr>
          <w:rFonts w:eastAsia="仿宋_GB2312"/>
          <w:sz w:val="32"/>
          <w:szCs w:val="32"/>
        </w:rPr>
        <w:t>规范不列入。</w:t>
      </w:r>
    </w:p>
    <w:p>
      <w:pPr>
        <w:spacing w:line="560" w:lineRule="exact"/>
        <w:outlineLvl w:val="2"/>
        <w:rPr>
          <w:rFonts w:eastAsia="黑体"/>
          <w:bCs/>
          <w:sz w:val="32"/>
          <w:szCs w:val="32"/>
        </w:rPr>
      </w:pPr>
      <w:bookmarkStart w:id="18" w:name="_Toc500007125"/>
      <w:bookmarkStart w:id="19" w:name="_Toc498299309"/>
      <w:bookmarkStart w:id="20" w:name="_Toc498519779"/>
      <w:r>
        <w:rPr>
          <w:rFonts w:eastAsia="黑体"/>
          <w:bCs/>
          <w:sz w:val="32"/>
          <w:szCs w:val="32"/>
        </w:rPr>
        <w:t>1.2.3建设项目依据的批准文件或相关合法证明文件</w:t>
      </w:r>
      <w:bookmarkEnd w:id="18"/>
      <w:bookmarkEnd w:id="19"/>
      <w:bookmarkEnd w:id="20"/>
    </w:p>
    <w:p>
      <w:pPr>
        <w:spacing w:line="560" w:lineRule="exact"/>
        <w:ind w:firstLine="640" w:firstLineChars="20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建设项目安全设施验收评价所依据的合法证明文件，包括但不限于</w:t>
      </w:r>
      <w:r>
        <w:rPr>
          <w:rFonts w:hint="eastAsia" w:eastAsia="仿宋_GB2312"/>
          <w:sz w:val="32"/>
          <w:szCs w:val="32"/>
        </w:rPr>
        <w:t>金属冶炼</w:t>
      </w:r>
      <w:r>
        <w:rPr>
          <w:rFonts w:eastAsia="仿宋_GB2312"/>
          <w:sz w:val="32"/>
          <w:szCs w:val="32"/>
        </w:rPr>
        <w:t>建设项目《安全设施设计》批复文件及重大设计变更批复文件。</w:t>
      </w:r>
    </w:p>
    <w:p>
      <w:pPr>
        <w:spacing w:line="560" w:lineRule="exact"/>
        <w:ind w:firstLine="640" w:firstLineChars="200"/>
        <w:rPr>
          <w:rFonts w:eastAsia="仿宋_GB2312"/>
          <w:sz w:val="32"/>
          <w:szCs w:val="32"/>
        </w:rPr>
      </w:pPr>
      <w:r>
        <w:rPr>
          <w:rFonts w:eastAsia="仿宋_GB2312"/>
          <w:sz w:val="32"/>
          <w:szCs w:val="32"/>
        </w:rPr>
        <w:t>所列的文件包括发文单位、日期和文件号等相关内容。</w:t>
      </w:r>
    </w:p>
    <w:p>
      <w:pPr>
        <w:spacing w:line="560" w:lineRule="exact"/>
        <w:outlineLvl w:val="2"/>
        <w:rPr>
          <w:rFonts w:eastAsia="黑体"/>
          <w:bCs/>
          <w:sz w:val="32"/>
          <w:szCs w:val="32"/>
        </w:rPr>
      </w:pPr>
      <w:bookmarkStart w:id="21" w:name="_Toc500007126"/>
      <w:bookmarkStart w:id="22" w:name="_Toc498299310"/>
      <w:bookmarkStart w:id="23" w:name="_Toc498519780"/>
      <w:r>
        <w:rPr>
          <w:rFonts w:eastAsia="黑体"/>
          <w:bCs/>
          <w:sz w:val="32"/>
          <w:szCs w:val="32"/>
        </w:rPr>
        <w:t>1.2.4建设项目技术资料</w:t>
      </w:r>
      <w:bookmarkEnd w:id="21"/>
      <w:bookmarkEnd w:id="22"/>
      <w:bookmarkEnd w:id="23"/>
    </w:p>
    <w:p>
      <w:pPr>
        <w:spacing w:line="560" w:lineRule="exact"/>
        <w:ind w:firstLine="640" w:firstLineChars="20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建设项目安全设施验收评价所依据的有关技术资料（包括文件名称、编制单位和日期等相关内容），包括但不限于下列资料：</w:t>
      </w:r>
    </w:p>
    <w:p>
      <w:pPr>
        <w:spacing w:line="560" w:lineRule="exact"/>
        <w:ind w:firstLine="640" w:firstLineChars="200"/>
        <w:rPr>
          <w:rFonts w:eastAsia="仿宋_GB2312"/>
          <w:sz w:val="32"/>
          <w:szCs w:val="32"/>
        </w:rPr>
      </w:pPr>
      <w:r>
        <w:rPr>
          <w:rFonts w:eastAsia="仿宋_GB2312"/>
          <w:sz w:val="32"/>
          <w:szCs w:val="32"/>
        </w:rPr>
        <w:t>（1）建设项目建议书</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（2）建设项目可行性研究报告</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（3）安全预评价报告</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建设项目设计任务书</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（5）建设项目《安全设施设计》；</w:t>
      </w:r>
    </w:p>
    <w:p>
      <w:pPr>
        <w:spacing w:line="560" w:lineRule="exact"/>
        <w:ind w:firstLine="640" w:firstLineChars="200"/>
        <w:rPr>
          <w:rFonts w:eastAsia="仿宋_GB2312"/>
          <w:sz w:val="32"/>
          <w:szCs w:val="32"/>
        </w:rPr>
      </w:pPr>
      <w:r>
        <w:rPr>
          <w:rFonts w:eastAsia="仿宋_GB2312"/>
          <w:sz w:val="32"/>
          <w:szCs w:val="32"/>
        </w:rPr>
        <w:t>（6）建设项目施工图设计资料和设计变更；</w:t>
      </w:r>
    </w:p>
    <w:p>
      <w:pPr>
        <w:spacing w:line="560" w:lineRule="exact"/>
        <w:ind w:firstLine="640" w:firstLineChars="200"/>
        <w:rPr>
          <w:rFonts w:eastAsia="仿宋_GB2312"/>
          <w:sz w:val="32"/>
          <w:szCs w:val="32"/>
        </w:rPr>
      </w:pPr>
      <w:r>
        <w:rPr>
          <w:rFonts w:eastAsia="仿宋_GB2312"/>
          <w:sz w:val="32"/>
          <w:szCs w:val="32"/>
        </w:rPr>
        <w:t>（7）建设项目地质勘察报告、地质灾害危险性评估报告；</w:t>
      </w:r>
    </w:p>
    <w:p>
      <w:pPr>
        <w:spacing w:line="560" w:lineRule="exact"/>
        <w:ind w:firstLine="640" w:firstLineChars="200"/>
        <w:rPr>
          <w:rFonts w:eastAsia="仿宋_GB2312"/>
          <w:sz w:val="32"/>
          <w:szCs w:val="32"/>
        </w:rPr>
      </w:pPr>
      <w:r>
        <w:rPr>
          <w:rFonts w:eastAsia="仿宋_GB2312"/>
          <w:sz w:val="32"/>
          <w:szCs w:val="32"/>
        </w:rPr>
        <w:t>（8）相关专题研究（试验）报告；</w:t>
      </w:r>
    </w:p>
    <w:p>
      <w:pPr>
        <w:spacing w:line="560" w:lineRule="exact"/>
        <w:ind w:firstLine="640" w:firstLineChars="200"/>
        <w:rPr>
          <w:rFonts w:eastAsia="仿宋_GB2312"/>
          <w:sz w:val="32"/>
          <w:szCs w:val="32"/>
        </w:rPr>
      </w:pPr>
      <w:r>
        <w:rPr>
          <w:rFonts w:eastAsia="仿宋_GB2312"/>
          <w:sz w:val="32"/>
          <w:szCs w:val="32"/>
        </w:rPr>
        <w:t>（9）建设项目施工记录（含隐蔽工程施工记录及中间验收记录）、竣工报告及竣工图；</w:t>
      </w:r>
    </w:p>
    <w:p>
      <w:pPr>
        <w:spacing w:line="560" w:lineRule="exact"/>
        <w:ind w:firstLine="640" w:firstLineChars="200"/>
        <w:rPr>
          <w:rFonts w:eastAsia="仿宋_GB2312"/>
          <w:sz w:val="32"/>
          <w:szCs w:val="32"/>
        </w:rPr>
      </w:pPr>
      <w:r>
        <w:rPr>
          <w:rFonts w:eastAsia="仿宋_GB2312"/>
          <w:sz w:val="32"/>
          <w:szCs w:val="32"/>
        </w:rPr>
        <w:t>（10）建设项目施工监理记录和施工监理报告。</w:t>
      </w:r>
    </w:p>
    <w:p>
      <w:pPr>
        <w:spacing w:line="560" w:lineRule="exact"/>
        <w:outlineLvl w:val="2"/>
        <w:rPr>
          <w:rFonts w:eastAsia="黑体"/>
          <w:bCs/>
          <w:sz w:val="32"/>
          <w:szCs w:val="32"/>
        </w:rPr>
      </w:pPr>
      <w:bookmarkStart w:id="24" w:name="_Toc498299311"/>
      <w:bookmarkStart w:id="25" w:name="_Toc498519781"/>
      <w:bookmarkStart w:id="26" w:name="_Toc500007127"/>
      <w:r>
        <w:rPr>
          <w:rFonts w:eastAsia="黑体"/>
          <w:bCs/>
          <w:sz w:val="32"/>
          <w:szCs w:val="32"/>
        </w:rPr>
        <w:t>1.2.5其他评价依据</w:t>
      </w:r>
      <w:bookmarkEnd w:id="24"/>
      <w:bookmarkEnd w:id="25"/>
      <w:bookmarkEnd w:id="26"/>
    </w:p>
    <w:p>
      <w:pPr>
        <w:pStyle w:val="8"/>
        <w:spacing w:line="560" w:lineRule="exact"/>
        <w:ind w:firstLine="64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建设项目安全设施验收评价所依据的其他有关资料，如</w:t>
      </w:r>
      <w:r>
        <w:rPr>
          <w:rFonts w:hint="eastAsia" w:eastAsia="仿宋_GB2312"/>
          <w:sz w:val="32"/>
          <w:szCs w:val="32"/>
        </w:rPr>
        <w:t>金属冶炼</w:t>
      </w:r>
      <w:r>
        <w:rPr>
          <w:rFonts w:eastAsia="仿宋_GB2312"/>
          <w:sz w:val="32"/>
          <w:szCs w:val="32"/>
        </w:rPr>
        <w:t>建设项目安全设施验收评价委托书（任务书、合同书）；相关的批复文件等评价依据。</w:t>
      </w:r>
    </w:p>
    <w:p>
      <w:pPr>
        <w:spacing w:line="560" w:lineRule="exact"/>
        <w:outlineLvl w:val="1"/>
        <w:rPr>
          <w:rFonts w:eastAsia="黑体"/>
          <w:color w:val="000000"/>
          <w:sz w:val="32"/>
          <w:szCs w:val="32"/>
        </w:rPr>
      </w:pPr>
      <w:bookmarkStart w:id="27" w:name="_Toc498519782"/>
      <w:bookmarkStart w:id="28" w:name="_Toc498299312"/>
      <w:bookmarkStart w:id="29" w:name="_Toc500007128"/>
      <w:r>
        <w:rPr>
          <w:rFonts w:eastAsia="黑体"/>
          <w:color w:val="000000"/>
          <w:sz w:val="32"/>
          <w:szCs w:val="32"/>
        </w:rPr>
        <w:t>1.3评价程序</w:t>
      </w:r>
      <w:bookmarkEnd w:id="27"/>
      <w:bookmarkEnd w:id="28"/>
      <w:bookmarkEnd w:id="29"/>
    </w:p>
    <w:p>
      <w:pPr>
        <w:pStyle w:val="8"/>
        <w:spacing w:line="560" w:lineRule="exact"/>
        <w:ind w:firstLine="64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建设项目安全设施验收评价</w:t>
      </w:r>
      <w:r>
        <w:rPr>
          <w:rFonts w:hint="eastAsia" w:eastAsia="仿宋_GB2312"/>
          <w:sz w:val="32"/>
          <w:szCs w:val="32"/>
        </w:rPr>
        <w:t>工作</w:t>
      </w:r>
      <w:r>
        <w:rPr>
          <w:rFonts w:eastAsia="仿宋_GB2312"/>
          <w:sz w:val="32"/>
          <w:szCs w:val="32"/>
        </w:rPr>
        <w:t>程序图。</w:t>
      </w:r>
    </w:p>
    <w:p>
      <w:pPr>
        <w:spacing w:line="560" w:lineRule="exact"/>
        <w:outlineLvl w:val="0"/>
        <w:rPr>
          <w:rFonts w:eastAsia="黑体"/>
          <w:bCs/>
          <w:sz w:val="32"/>
          <w:szCs w:val="32"/>
        </w:rPr>
      </w:pPr>
      <w:bookmarkStart w:id="30" w:name="_Toc498519783"/>
      <w:bookmarkStart w:id="31" w:name="_Toc498299313"/>
      <w:bookmarkStart w:id="32" w:name="_Toc500007129"/>
      <w:r>
        <w:rPr>
          <w:rFonts w:eastAsia="黑体"/>
          <w:bCs/>
          <w:sz w:val="32"/>
          <w:szCs w:val="32"/>
        </w:rPr>
        <w:t>2.建设项目概况</w:t>
      </w:r>
      <w:bookmarkEnd w:id="30"/>
      <w:bookmarkEnd w:id="31"/>
      <w:bookmarkEnd w:id="32"/>
    </w:p>
    <w:p>
      <w:pPr>
        <w:spacing w:line="560" w:lineRule="exact"/>
        <w:outlineLvl w:val="1"/>
        <w:rPr>
          <w:rFonts w:eastAsia="黑体"/>
          <w:color w:val="000000"/>
          <w:sz w:val="32"/>
          <w:szCs w:val="32"/>
        </w:rPr>
      </w:pPr>
      <w:bookmarkStart w:id="33" w:name="_Toc498519784"/>
      <w:bookmarkStart w:id="34" w:name="_Toc500007130"/>
      <w:bookmarkStart w:id="35" w:name="_Toc498299314"/>
      <w:r>
        <w:rPr>
          <w:rFonts w:eastAsia="黑体"/>
          <w:color w:val="000000"/>
          <w:sz w:val="32"/>
          <w:szCs w:val="32"/>
        </w:rPr>
        <w:t>2.1建设单位基本概况</w:t>
      </w:r>
      <w:bookmarkEnd w:id="33"/>
      <w:bookmarkEnd w:id="34"/>
      <w:bookmarkEnd w:id="35"/>
    </w:p>
    <w:p>
      <w:pPr>
        <w:spacing w:line="560" w:lineRule="exact"/>
        <w:ind w:firstLine="640" w:firstLineChars="200"/>
        <w:rPr>
          <w:rFonts w:eastAsia="仿宋_GB2312"/>
          <w:sz w:val="32"/>
          <w:szCs w:val="32"/>
        </w:rPr>
      </w:pPr>
      <w:r>
        <w:rPr>
          <w:rFonts w:eastAsia="仿宋_GB2312"/>
          <w:sz w:val="32"/>
          <w:szCs w:val="32"/>
        </w:rPr>
        <w:t>简要介绍建设单位历史沿革、经济类型、隶属关系等基本情况，</w:t>
      </w:r>
      <w:r>
        <w:rPr>
          <w:rFonts w:hint="eastAsia" w:eastAsia="仿宋_GB2312"/>
          <w:sz w:val="32"/>
          <w:szCs w:val="32"/>
        </w:rPr>
        <w:t>金属冶炼</w:t>
      </w:r>
      <w:r>
        <w:rPr>
          <w:rFonts w:eastAsia="仿宋_GB2312"/>
          <w:sz w:val="32"/>
          <w:szCs w:val="32"/>
        </w:rPr>
        <w:t>建设项目背景及立项情况。</w:t>
      </w:r>
    </w:p>
    <w:p>
      <w:pPr>
        <w:spacing w:line="560" w:lineRule="exact"/>
        <w:outlineLvl w:val="1"/>
        <w:rPr>
          <w:rFonts w:eastAsia="黑体"/>
          <w:color w:val="000000"/>
          <w:sz w:val="32"/>
          <w:szCs w:val="32"/>
        </w:rPr>
      </w:pPr>
      <w:bookmarkStart w:id="36" w:name="_Toc498519785"/>
      <w:bookmarkStart w:id="37" w:name="_Toc498299315"/>
      <w:bookmarkStart w:id="38" w:name="_Toc500007131"/>
      <w:r>
        <w:rPr>
          <w:rFonts w:eastAsia="黑体"/>
          <w:color w:val="000000"/>
          <w:sz w:val="32"/>
          <w:szCs w:val="32"/>
        </w:rPr>
        <w:t>2.2建设项目性质</w:t>
      </w:r>
      <w:bookmarkEnd w:id="36"/>
      <w:bookmarkEnd w:id="37"/>
      <w:bookmarkEnd w:id="38"/>
    </w:p>
    <w:p>
      <w:pPr>
        <w:spacing w:line="560" w:lineRule="exact"/>
        <w:ind w:firstLine="640" w:firstLineChars="200"/>
        <w:rPr>
          <w:rFonts w:eastAsia="仿宋_GB2312"/>
          <w:sz w:val="32"/>
          <w:szCs w:val="32"/>
        </w:rPr>
      </w:pPr>
      <w:r>
        <w:rPr>
          <w:rFonts w:hint="eastAsia" w:eastAsia="仿宋_GB2312"/>
          <w:sz w:val="32"/>
          <w:szCs w:val="32"/>
        </w:rPr>
        <w:t>说明金属冶炼</w:t>
      </w:r>
      <w:r>
        <w:rPr>
          <w:rFonts w:eastAsia="仿宋_GB2312"/>
          <w:sz w:val="32"/>
          <w:szCs w:val="32"/>
        </w:rPr>
        <w:t>建设项目性质，是新建、改建</w:t>
      </w:r>
      <w:r>
        <w:rPr>
          <w:rFonts w:hint="eastAsia" w:eastAsia="仿宋_GB2312"/>
          <w:sz w:val="32"/>
          <w:szCs w:val="32"/>
        </w:rPr>
        <w:t>还是</w:t>
      </w:r>
      <w:r>
        <w:rPr>
          <w:rFonts w:eastAsia="仿宋_GB2312"/>
          <w:sz w:val="32"/>
          <w:szCs w:val="32"/>
        </w:rPr>
        <w:t>扩建项目。</w:t>
      </w:r>
    </w:p>
    <w:p>
      <w:pPr>
        <w:spacing w:line="560" w:lineRule="exact"/>
        <w:outlineLvl w:val="1"/>
        <w:rPr>
          <w:rFonts w:eastAsia="黑体"/>
          <w:color w:val="000000"/>
          <w:sz w:val="32"/>
          <w:szCs w:val="32"/>
        </w:rPr>
      </w:pPr>
      <w:bookmarkStart w:id="39" w:name="_Toc498519786"/>
      <w:bookmarkStart w:id="40" w:name="_Toc498299316"/>
      <w:bookmarkStart w:id="41" w:name="_Toc500007132"/>
      <w:r>
        <w:rPr>
          <w:rFonts w:eastAsia="黑体"/>
          <w:color w:val="000000"/>
          <w:sz w:val="32"/>
          <w:szCs w:val="32"/>
        </w:rPr>
        <w:t>2.3建设项目基本概况</w:t>
      </w:r>
      <w:bookmarkEnd w:id="39"/>
      <w:bookmarkEnd w:id="40"/>
      <w:bookmarkEnd w:id="41"/>
    </w:p>
    <w:p>
      <w:pPr>
        <w:pStyle w:val="8"/>
        <w:spacing w:line="560" w:lineRule="exact"/>
        <w:ind w:firstLine="640"/>
        <w:rPr>
          <w:rFonts w:eastAsia="仿宋_GB2312"/>
          <w:sz w:val="32"/>
          <w:szCs w:val="32"/>
        </w:rPr>
      </w:pPr>
      <w:r>
        <w:rPr>
          <w:rFonts w:eastAsia="仿宋_GB2312"/>
          <w:sz w:val="32"/>
          <w:szCs w:val="32"/>
        </w:rPr>
        <w:t>（1）简要介绍建设项目地理位置及选址、行政区划</w:t>
      </w:r>
      <w:r>
        <w:rPr>
          <w:rFonts w:hint="eastAsia" w:eastAsia="仿宋_GB2312"/>
          <w:sz w:val="32"/>
          <w:szCs w:val="32"/>
        </w:rPr>
        <w:t>、</w:t>
      </w:r>
      <w:r>
        <w:rPr>
          <w:rFonts w:eastAsia="仿宋_GB2312"/>
          <w:sz w:val="32"/>
          <w:szCs w:val="32"/>
        </w:rPr>
        <w:t>项目用地，厂区总图、平面布置及功能分布，建设场地周边环境</w:t>
      </w:r>
      <w:r>
        <w:rPr>
          <w:rFonts w:hint="eastAsia" w:eastAsia="仿宋_GB2312"/>
          <w:sz w:val="32"/>
          <w:szCs w:val="32"/>
        </w:rPr>
        <w:t>等</w:t>
      </w:r>
      <w:r>
        <w:rPr>
          <w:rFonts w:eastAsia="仿宋_GB2312"/>
          <w:sz w:val="32"/>
          <w:szCs w:val="32"/>
        </w:rPr>
        <w:t>;</w:t>
      </w:r>
    </w:p>
    <w:p>
      <w:pPr>
        <w:pStyle w:val="8"/>
        <w:spacing w:line="560" w:lineRule="exact"/>
        <w:ind w:firstLine="640"/>
        <w:rPr>
          <w:rFonts w:eastAsia="仿宋_GB2312"/>
          <w:sz w:val="32"/>
          <w:szCs w:val="32"/>
        </w:rPr>
      </w:pPr>
      <w:r>
        <w:rPr>
          <w:rFonts w:eastAsia="仿宋_GB2312"/>
          <w:sz w:val="32"/>
          <w:szCs w:val="32"/>
        </w:rPr>
        <w:t>（2）建设项目的设计生产规模，主要技术方案及产品方案；</w:t>
      </w:r>
    </w:p>
    <w:p>
      <w:pPr>
        <w:pStyle w:val="8"/>
        <w:spacing w:line="560" w:lineRule="exact"/>
        <w:ind w:firstLine="640"/>
        <w:rPr>
          <w:rFonts w:eastAsia="仿宋_GB2312"/>
          <w:sz w:val="32"/>
          <w:szCs w:val="32"/>
        </w:rPr>
      </w:pPr>
      <w:r>
        <w:rPr>
          <w:rFonts w:eastAsia="仿宋_GB2312"/>
          <w:sz w:val="32"/>
          <w:szCs w:val="32"/>
        </w:rPr>
        <w:t>（3）生产工艺流程，主要设备、设施、装置，特种设备及主要安全附件；</w:t>
      </w:r>
    </w:p>
    <w:p>
      <w:pPr>
        <w:pStyle w:val="8"/>
        <w:spacing w:line="560" w:lineRule="exact"/>
        <w:ind w:firstLine="640"/>
        <w:rPr>
          <w:rFonts w:eastAsia="仿宋_GB2312"/>
          <w:sz w:val="32"/>
          <w:szCs w:val="32"/>
        </w:rPr>
      </w:pPr>
      <w:r>
        <w:rPr>
          <w:rFonts w:eastAsia="仿宋_GB2312"/>
          <w:sz w:val="32"/>
          <w:szCs w:val="32"/>
        </w:rPr>
        <w:t>（4）建设项目主要原料、辅助料的品种、数量与来源，主要产品、副产品品种与数量；</w:t>
      </w:r>
    </w:p>
    <w:p>
      <w:pPr>
        <w:pStyle w:val="8"/>
        <w:spacing w:line="560" w:lineRule="exact"/>
        <w:ind w:firstLine="640"/>
        <w:rPr>
          <w:rFonts w:eastAsia="仿宋_GB2312"/>
          <w:sz w:val="32"/>
          <w:szCs w:val="32"/>
        </w:rPr>
      </w:pPr>
      <w:r>
        <w:rPr>
          <w:rFonts w:eastAsia="仿宋_GB2312"/>
          <w:sz w:val="32"/>
          <w:szCs w:val="32"/>
        </w:rPr>
        <w:t>（5）建设项目配套和辅助工程（如土建、供排水、污水处理、供配电、供汽、供气、供冷、消防、防雷、采暖通风、通信、仓库、堆场、厂内运输等工程，特别是涉及到项目安全保障的工程）的能力及来源；</w:t>
      </w:r>
    </w:p>
    <w:p>
      <w:pPr>
        <w:pStyle w:val="8"/>
        <w:spacing w:line="560" w:lineRule="exact"/>
        <w:ind w:firstLine="640"/>
        <w:rPr>
          <w:rFonts w:eastAsia="仿宋_GB2312"/>
          <w:sz w:val="32"/>
          <w:szCs w:val="32"/>
        </w:rPr>
      </w:pPr>
      <w:r>
        <w:rPr>
          <w:rFonts w:eastAsia="仿宋_GB2312"/>
          <w:sz w:val="32"/>
          <w:szCs w:val="32"/>
        </w:rPr>
        <w:t>（6）建设项目厂内外运输方式及运输量；</w:t>
      </w:r>
    </w:p>
    <w:p>
      <w:pPr>
        <w:pStyle w:val="8"/>
        <w:spacing w:line="560" w:lineRule="exact"/>
        <w:ind w:firstLine="640"/>
        <w:rPr>
          <w:rFonts w:eastAsia="仿宋_GB2312"/>
          <w:sz w:val="32"/>
          <w:szCs w:val="32"/>
        </w:rPr>
      </w:pPr>
      <w:r>
        <w:rPr>
          <w:rFonts w:eastAsia="仿宋_GB2312"/>
          <w:sz w:val="32"/>
          <w:szCs w:val="32"/>
        </w:rPr>
        <w:t>（7）人流、物流、工业园区规划等概况；</w:t>
      </w:r>
    </w:p>
    <w:p>
      <w:pPr>
        <w:pStyle w:val="8"/>
        <w:spacing w:line="560" w:lineRule="exact"/>
        <w:ind w:firstLine="640"/>
        <w:rPr>
          <w:rFonts w:eastAsia="仿宋_GB2312"/>
          <w:sz w:val="32"/>
          <w:szCs w:val="32"/>
        </w:rPr>
      </w:pPr>
      <w:r>
        <w:rPr>
          <w:rFonts w:eastAsia="仿宋_GB2312"/>
          <w:sz w:val="32"/>
          <w:szCs w:val="32"/>
        </w:rPr>
        <w:t>（8）建设项目总投资与主要技术经济指标；</w:t>
      </w:r>
    </w:p>
    <w:p>
      <w:pPr>
        <w:pStyle w:val="8"/>
        <w:spacing w:line="560" w:lineRule="exact"/>
        <w:ind w:firstLine="640"/>
        <w:rPr>
          <w:rFonts w:eastAsia="仿宋_GB2312"/>
          <w:sz w:val="32"/>
          <w:szCs w:val="32"/>
        </w:rPr>
      </w:pPr>
      <w:r>
        <w:rPr>
          <w:rFonts w:eastAsia="仿宋_GB2312"/>
          <w:sz w:val="32"/>
          <w:szCs w:val="32"/>
        </w:rPr>
        <w:t>（9）建设项目投入生产后的组织机构与劳动定员，施工队伍要求等；</w:t>
      </w:r>
    </w:p>
    <w:p>
      <w:pPr>
        <w:pStyle w:val="8"/>
        <w:spacing w:line="560" w:lineRule="exact"/>
        <w:ind w:firstLine="640"/>
        <w:rPr>
          <w:rFonts w:eastAsia="仿宋_GB2312"/>
          <w:sz w:val="32"/>
          <w:szCs w:val="32"/>
        </w:rPr>
      </w:pPr>
      <w:r>
        <w:rPr>
          <w:rFonts w:eastAsia="仿宋_GB2312"/>
          <w:sz w:val="32"/>
          <w:szCs w:val="32"/>
        </w:rPr>
        <w:t>（10）建设项目其他特殊要求。</w:t>
      </w:r>
    </w:p>
    <w:p>
      <w:pPr>
        <w:spacing w:line="560" w:lineRule="exact"/>
        <w:outlineLvl w:val="1"/>
        <w:rPr>
          <w:rFonts w:eastAsia="黑体"/>
          <w:color w:val="000000"/>
          <w:sz w:val="32"/>
          <w:szCs w:val="32"/>
        </w:rPr>
      </w:pPr>
      <w:bookmarkStart w:id="42" w:name="_Toc498519787"/>
      <w:bookmarkStart w:id="43" w:name="_Toc498299317"/>
      <w:bookmarkStart w:id="44" w:name="_Toc500007133"/>
      <w:r>
        <w:rPr>
          <w:rFonts w:eastAsia="黑体"/>
          <w:color w:val="000000"/>
          <w:sz w:val="32"/>
          <w:szCs w:val="32"/>
        </w:rPr>
        <w:t>2.4改、扩建项目利用原有设施情况</w:t>
      </w:r>
      <w:bookmarkEnd w:id="42"/>
      <w:bookmarkEnd w:id="43"/>
      <w:bookmarkEnd w:id="44"/>
    </w:p>
    <w:p>
      <w:pPr>
        <w:spacing w:line="560" w:lineRule="exact"/>
        <w:ind w:firstLine="640" w:firstLineChars="200"/>
        <w:rPr>
          <w:rFonts w:eastAsia="仿宋_GB2312"/>
          <w:sz w:val="32"/>
          <w:szCs w:val="32"/>
        </w:rPr>
      </w:pPr>
      <w:r>
        <w:rPr>
          <w:rFonts w:eastAsia="仿宋_GB2312"/>
          <w:sz w:val="32"/>
          <w:szCs w:val="32"/>
        </w:rPr>
        <w:t>简要介绍项目实际建设的主要内容，包括但不限于以下内容。</w:t>
      </w:r>
    </w:p>
    <w:p>
      <w:pPr>
        <w:spacing w:line="560" w:lineRule="exact"/>
        <w:ind w:firstLine="640" w:firstLineChars="200"/>
        <w:rPr>
          <w:rFonts w:eastAsia="仿宋_GB2312"/>
          <w:sz w:val="32"/>
          <w:szCs w:val="32"/>
        </w:rPr>
      </w:pPr>
      <w:r>
        <w:rPr>
          <w:rFonts w:eastAsia="仿宋_GB2312"/>
          <w:sz w:val="32"/>
          <w:szCs w:val="32"/>
        </w:rPr>
        <w:t>（1）简述原有生产规模、生产工艺流程、主要设备设施、辅助设备和主要安全装置及总平面布置、运输等情况；</w:t>
      </w:r>
    </w:p>
    <w:p>
      <w:pPr>
        <w:spacing w:line="560" w:lineRule="exact"/>
        <w:ind w:firstLine="640" w:firstLineChars="200"/>
        <w:rPr>
          <w:rFonts w:eastAsia="仿宋_GB2312"/>
          <w:sz w:val="32"/>
          <w:szCs w:val="32"/>
        </w:rPr>
      </w:pPr>
      <w:r>
        <w:rPr>
          <w:rFonts w:eastAsia="仿宋_GB2312"/>
          <w:sz w:val="32"/>
          <w:szCs w:val="32"/>
        </w:rPr>
        <w:t>（2）简要说明利用原有场地、建（构）筑物及设备设施的情况，并对其是否满足改扩建项目的安全要求进行分析说明；</w:t>
      </w:r>
    </w:p>
    <w:p>
      <w:pPr>
        <w:spacing w:line="560" w:lineRule="exact"/>
        <w:ind w:firstLine="640" w:firstLineChars="200"/>
        <w:rPr>
          <w:rFonts w:eastAsia="仿宋_GB2312"/>
          <w:sz w:val="32"/>
          <w:szCs w:val="32"/>
        </w:rPr>
      </w:pPr>
      <w:r>
        <w:rPr>
          <w:rFonts w:eastAsia="仿宋_GB2312"/>
          <w:sz w:val="32"/>
          <w:szCs w:val="32"/>
        </w:rPr>
        <w:t>（3）原有安全设备设施的利用与衔接情况。</w:t>
      </w:r>
    </w:p>
    <w:p>
      <w:pPr>
        <w:spacing w:line="560" w:lineRule="exact"/>
        <w:outlineLvl w:val="1"/>
        <w:rPr>
          <w:rFonts w:eastAsia="黑体"/>
          <w:color w:val="000000"/>
          <w:sz w:val="32"/>
          <w:szCs w:val="32"/>
        </w:rPr>
      </w:pPr>
      <w:bookmarkStart w:id="45" w:name="_Toc500007134"/>
      <w:r>
        <w:rPr>
          <w:rFonts w:hint="eastAsia" w:eastAsia="黑体"/>
          <w:color w:val="000000"/>
          <w:sz w:val="32"/>
          <w:szCs w:val="32"/>
        </w:rPr>
        <w:t>2</w:t>
      </w:r>
      <w:r>
        <w:rPr>
          <w:rFonts w:eastAsia="黑体"/>
          <w:color w:val="000000"/>
          <w:sz w:val="32"/>
          <w:szCs w:val="32"/>
        </w:rPr>
        <w:t>.5</w:t>
      </w:r>
      <w:r>
        <w:rPr>
          <w:rFonts w:hint="eastAsia" w:eastAsia="黑体"/>
          <w:color w:val="000000"/>
          <w:sz w:val="32"/>
          <w:szCs w:val="32"/>
        </w:rPr>
        <w:t>设计变更</w:t>
      </w:r>
      <w:bookmarkEnd w:id="45"/>
    </w:p>
    <w:p>
      <w:pPr>
        <w:spacing w:line="560" w:lineRule="exact"/>
        <w:ind w:firstLine="640" w:firstLineChars="200"/>
        <w:rPr>
          <w:rFonts w:eastAsia="仿宋_GB2312"/>
          <w:sz w:val="32"/>
          <w:szCs w:val="32"/>
        </w:rPr>
      </w:pPr>
      <w:r>
        <w:rPr>
          <w:rFonts w:hint="eastAsia" w:eastAsia="仿宋_GB2312"/>
          <w:sz w:val="32"/>
          <w:szCs w:val="32"/>
        </w:rPr>
        <w:t>简要介绍建设项目安全设施变更设计情况。</w:t>
      </w:r>
    </w:p>
    <w:p>
      <w:pPr>
        <w:spacing w:line="560" w:lineRule="exact"/>
        <w:outlineLvl w:val="1"/>
        <w:rPr>
          <w:rFonts w:eastAsia="黑体"/>
          <w:color w:val="000000"/>
          <w:sz w:val="32"/>
          <w:szCs w:val="32"/>
        </w:rPr>
      </w:pPr>
      <w:bookmarkStart w:id="46" w:name="_Toc498519788"/>
      <w:bookmarkStart w:id="47" w:name="_Toc498299318"/>
      <w:bookmarkStart w:id="48" w:name="_Toc500007135"/>
      <w:r>
        <w:rPr>
          <w:rFonts w:eastAsia="黑体"/>
          <w:color w:val="000000"/>
          <w:sz w:val="32"/>
          <w:szCs w:val="32"/>
        </w:rPr>
        <w:t>2.6</w:t>
      </w:r>
      <w:bookmarkEnd w:id="46"/>
      <w:bookmarkEnd w:id="47"/>
      <w:r>
        <w:rPr>
          <w:rFonts w:hint="eastAsia" w:eastAsia="黑体"/>
          <w:color w:val="000000"/>
          <w:sz w:val="32"/>
          <w:szCs w:val="32"/>
        </w:rPr>
        <w:t>施工监理资质</w:t>
      </w:r>
      <w:bookmarkEnd w:id="48"/>
    </w:p>
    <w:p>
      <w:pPr>
        <w:spacing w:line="560" w:lineRule="exact"/>
        <w:ind w:firstLine="640" w:firstLineChars="200"/>
        <w:rPr>
          <w:rFonts w:eastAsia="仿宋_GB2312"/>
          <w:sz w:val="32"/>
          <w:szCs w:val="32"/>
        </w:rPr>
      </w:pPr>
      <w:r>
        <w:rPr>
          <w:rFonts w:eastAsia="仿宋_GB2312"/>
          <w:sz w:val="32"/>
          <w:szCs w:val="32"/>
        </w:rPr>
        <w:t>简要介绍项目施工监理单位</w:t>
      </w:r>
      <w:r>
        <w:rPr>
          <w:rFonts w:hint="eastAsia" w:eastAsia="仿宋_GB2312"/>
          <w:sz w:val="32"/>
          <w:szCs w:val="32"/>
        </w:rPr>
        <w:t>资质</w:t>
      </w:r>
      <w:r>
        <w:rPr>
          <w:rFonts w:eastAsia="仿宋_GB2312"/>
          <w:sz w:val="32"/>
          <w:szCs w:val="32"/>
        </w:rPr>
        <w:t>情况。</w:t>
      </w:r>
    </w:p>
    <w:p>
      <w:pPr>
        <w:spacing w:line="560" w:lineRule="exact"/>
        <w:outlineLvl w:val="1"/>
        <w:rPr>
          <w:rFonts w:eastAsia="黑体"/>
          <w:color w:val="000000"/>
          <w:sz w:val="32"/>
          <w:szCs w:val="32"/>
        </w:rPr>
      </w:pPr>
      <w:bookmarkStart w:id="49" w:name="_Toc498299319"/>
      <w:bookmarkStart w:id="50" w:name="_Toc498519789"/>
      <w:bookmarkStart w:id="51" w:name="_Toc500007136"/>
      <w:r>
        <w:rPr>
          <w:rFonts w:eastAsia="黑体"/>
          <w:color w:val="000000"/>
          <w:sz w:val="32"/>
          <w:szCs w:val="32"/>
        </w:rPr>
        <w:t>2.7试运行概况</w:t>
      </w:r>
      <w:bookmarkEnd w:id="49"/>
      <w:bookmarkEnd w:id="50"/>
      <w:bookmarkEnd w:id="51"/>
    </w:p>
    <w:p>
      <w:pPr>
        <w:spacing w:line="560" w:lineRule="exact"/>
        <w:ind w:firstLine="640" w:firstLineChars="200"/>
        <w:rPr>
          <w:rFonts w:eastAsia="仿宋_GB2312"/>
          <w:sz w:val="32"/>
          <w:szCs w:val="32"/>
        </w:rPr>
      </w:pPr>
      <w:r>
        <w:rPr>
          <w:rFonts w:eastAsia="仿宋_GB2312"/>
          <w:sz w:val="32"/>
          <w:szCs w:val="32"/>
        </w:rPr>
        <w:t>简要介绍</w:t>
      </w:r>
      <w:r>
        <w:rPr>
          <w:rFonts w:hint="eastAsia" w:eastAsia="仿宋_GB2312"/>
          <w:sz w:val="32"/>
          <w:szCs w:val="32"/>
        </w:rPr>
        <w:t>金属冶炼</w:t>
      </w:r>
      <w:r>
        <w:rPr>
          <w:rFonts w:eastAsia="仿宋_GB2312"/>
          <w:sz w:val="32"/>
          <w:szCs w:val="32"/>
        </w:rPr>
        <w:t>建设项目试运行期间各生产系统运行状况、安全设施运行效果、出现的问题及解决情况、日常安全管理、安全生产事故等情况。</w:t>
      </w:r>
    </w:p>
    <w:p>
      <w:pPr>
        <w:spacing w:line="560" w:lineRule="exact"/>
        <w:outlineLvl w:val="1"/>
        <w:rPr>
          <w:rFonts w:eastAsia="黑体"/>
          <w:color w:val="000000"/>
          <w:sz w:val="32"/>
          <w:szCs w:val="32"/>
        </w:rPr>
      </w:pPr>
      <w:bookmarkStart w:id="52" w:name="_Toc498299320"/>
      <w:bookmarkStart w:id="53" w:name="_Toc498519790"/>
      <w:bookmarkStart w:id="54" w:name="_Toc500007137"/>
      <w:r>
        <w:rPr>
          <w:rFonts w:eastAsia="黑体"/>
          <w:color w:val="000000"/>
          <w:sz w:val="32"/>
          <w:szCs w:val="32"/>
        </w:rPr>
        <w:t>2.8</w:t>
      </w:r>
      <w:r>
        <w:rPr>
          <w:rFonts w:hint="eastAsia" w:eastAsia="黑体"/>
          <w:color w:val="000000"/>
          <w:sz w:val="32"/>
          <w:szCs w:val="32"/>
        </w:rPr>
        <w:t>采取的主要</w:t>
      </w:r>
      <w:r>
        <w:rPr>
          <w:rFonts w:eastAsia="黑体"/>
          <w:color w:val="000000"/>
          <w:sz w:val="32"/>
          <w:szCs w:val="32"/>
        </w:rPr>
        <w:t>安全设施</w:t>
      </w:r>
      <w:bookmarkEnd w:id="52"/>
      <w:r>
        <w:rPr>
          <w:rFonts w:hint="eastAsia" w:eastAsia="黑体"/>
          <w:color w:val="000000"/>
          <w:sz w:val="32"/>
          <w:szCs w:val="32"/>
        </w:rPr>
        <w:t>、措施</w:t>
      </w:r>
      <w:bookmarkEnd w:id="53"/>
      <w:bookmarkEnd w:id="54"/>
    </w:p>
    <w:p>
      <w:pPr>
        <w:spacing w:line="560" w:lineRule="exact"/>
        <w:ind w:firstLine="640" w:firstLineChars="200"/>
        <w:rPr>
          <w:rFonts w:eastAsia="仿宋_GB2312"/>
          <w:sz w:val="32"/>
          <w:szCs w:val="32"/>
        </w:rPr>
      </w:pPr>
      <w:r>
        <w:rPr>
          <w:rFonts w:eastAsia="仿宋_GB2312"/>
          <w:sz w:val="32"/>
          <w:szCs w:val="32"/>
        </w:rPr>
        <w:t>用表格形式列出</w:t>
      </w:r>
      <w:r>
        <w:rPr>
          <w:rFonts w:hint="eastAsia" w:eastAsia="仿宋_GB2312"/>
          <w:sz w:val="32"/>
          <w:szCs w:val="32"/>
        </w:rPr>
        <w:t>金属冶炼</w:t>
      </w:r>
      <w:r>
        <w:rPr>
          <w:rFonts w:eastAsia="仿宋_GB2312"/>
          <w:sz w:val="32"/>
          <w:szCs w:val="32"/>
        </w:rPr>
        <w:t>建设项目的</w:t>
      </w:r>
      <w:r>
        <w:rPr>
          <w:rFonts w:hint="eastAsia" w:eastAsia="仿宋_GB2312"/>
          <w:sz w:val="32"/>
          <w:szCs w:val="32"/>
        </w:rPr>
        <w:t>主要</w:t>
      </w:r>
      <w:r>
        <w:rPr>
          <w:rFonts w:eastAsia="仿宋_GB2312"/>
          <w:sz w:val="32"/>
          <w:szCs w:val="32"/>
        </w:rPr>
        <w:t>安全设施目录。</w:t>
      </w:r>
    </w:p>
    <w:p>
      <w:pPr>
        <w:spacing w:line="560" w:lineRule="exact"/>
        <w:outlineLvl w:val="0"/>
        <w:rPr>
          <w:rFonts w:eastAsia="黑体"/>
          <w:bCs/>
          <w:sz w:val="32"/>
          <w:szCs w:val="32"/>
        </w:rPr>
      </w:pPr>
      <w:bookmarkStart w:id="55" w:name="_Toc500007138"/>
      <w:bookmarkStart w:id="56" w:name="_Toc498519791"/>
      <w:bookmarkStart w:id="57" w:name="_Toc498299321"/>
      <w:r>
        <w:rPr>
          <w:rFonts w:eastAsia="黑体"/>
          <w:bCs/>
          <w:sz w:val="32"/>
          <w:szCs w:val="32"/>
        </w:rPr>
        <w:t>3.危险、有害因素辨识与分析</w:t>
      </w:r>
      <w:bookmarkEnd w:id="55"/>
      <w:bookmarkEnd w:id="56"/>
      <w:bookmarkEnd w:id="57"/>
    </w:p>
    <w:p>
      <w:pPr>
        <w:widowControl/>
        <w:spacing w:line="560" w:lineRule="exact"/>
        <w:ind w:firstLine="627" w:firstLineChars="196"/>
        <w:rPr>
          <w:rFonts w:eastAsia="仿宋_GB2312"/>
          <w:kern w:val="0"/>
          <w:sz w:val="32"/>
          <w:szCs w:val="32"/>
        </w:rPr>
      </w:pPr>
      <w:r>
        <w:rPr>
          <w:rFonts w:eastAsia="仿宋_GB2312"/>
          <w:color w:val="000000"/>
          <w:kern w:val="0"/>
          <w:sz w:val="32"/>
          <w:szCs w:val="32"/>
        </w:rPr>
        <w:t>根据初步设计方案、安全预评价、安全设施设计</w:t>
      </w:r>
      <w:r>
        <w:rPr>
          <w:rFonts w:hint="eastAsia" w:eastAsia="仿宋_GB2312"/>
          <w:color w:val="000000"/>
          <w:kern w:val="0"/>
          <w:sz w:val="32"/>
          <w:szCs w:val="32"/>
        </w:rPr>
        <w:t>及试生产</w:t>
      </w:r>
      <w:r>
        <w:rPr>
          <w:rFonts w:eastAsia="仿宋_GB2312"/>
          <w:color w:val="000000"/>
          <w:kern w:val="0"/>
          <w:sz w:val="32"/>
          <w:szCs w:val="32"/>
        </w:rPr>
        <w:t>的结果，依据标准，对</w:t>
      </w:r>
      <w:r>
        <w:rPr>
          <w:rFonts w:hint="eastAsia" w:eastAsia="仿宋_GB2312"/>
          <w:sz w:val="32"/>
          <w:szCs w:val="32"/>
        </w:rPr>
        <w:t>金属冶炼</w:t>
      </w:r>
      <w:r>
        <w:rPr>
          <w:rFonts w:eastAsia="仿宋_GB2312"/>
          <w:color w:val="000000"/>
          <w:kern w:val="0"/>
          <w:sz w:val="32"/>
          <w:szCs w:val="32"/>
        </w:rPr>
        <w:t>建设项目的危险、有害因素以及</w:t>
      </w:r>
      <w:r>
        <w:rPr>
          <w:rFonts w:hint="eastAsia" w:eastAsia="仿宋_GB2312"/>
          <w:color w:val="000000"/>
          <w:kern w:val="0"/>
          <w:sz w:val="32"/>
          <w:szCs w:val="32"/>
        </w:rPr>
        <w:t>影响范围</w:t>
      </w:r>
      <w:r>
        <w:rPr>
          <w:rFonts w:eastAsia="仿宋_GB2312"/>
          <w:color w:val="000000"/>
          <w:kern w:val="0"/>
          <w:sz w:val="32"/>
          <w:szCs w:val="32"/>
        </w:rPr>
        <w:t>进行</w:t>
      </w:r>
      <w:r>
        <w:rPr>
          <w:rFonts w:hint="eastAsia" w:eastAsia="仿宋_GB2312"/>
          <w:color w:val="000000"/>
          <w:kern w:val="0"/>
          <w:sz w:val="32"/>
          <w:szCs w:val="32"/>
        </w:rPr>
        <w:t>辨识与</w:t>
      </w:r>
      <w:r>
        <w:rPr>
          <w:rFonts w:eastAsia="仿宋_GB2312"/>
          <w:color w:val="000000"/>
          <w:kern w:val="0"/>
          <w:sz w:val="32"/>
          <w:szCs w:val="32"/>
        </w:rPr>
        <w:t>分析</w:t>
      </w:r>
      <w:r>
        <w:rPr>
          <w:rFonts w:eastAsia="仿宋_GB2312"/>
          <w:kern w:val="0"/>
          <w:sz w:val="32"/>
          <w:szCs w:val="32"/>
        </w:rPr>
        <w:t>。</w:t>
      </w:r>
    </w:p>
    <w:p>
      <w:pPr>
        <w:spacing w:line="560" w:lineRule="exact"/>
        <w:outlineLvl w:val="1"/>
        <w:rPr>
          <w:rFonts w:eastAsia="黑体"/>
          <w:color w:val="000000"/>
          <w:sz w:val="32"/>
          <w:szCs w:val="32"/>
        </w:rPr>
      </w:pPr>
      <w:bookmarkStart w:id="58" w:name="_Toc498519792"/>
      <w:bookmarkStart w:id="59" w:name="_Toc500007139"/>
      <w:bookmarkStart w:id="60" w:name="_Toc498299322"/>
      <w:r>
        <w:rPr>
          <w:rFonts w:eastAsia="黑体"/>
          <w:color w:val="000000"/>
          <w:sz w:val="32"/>
          <w:szCs w:val="32"/>
        </w:rPr>
        <w:t>3.1危险有害因素分类依据</w:t>
      </w:r>
      <w:bookmarkEnd w:id="58"/>
      <w:bookmarkEnd w:id="59"/>
      <w:bookmarkEnd w:id="60"/>
    </w:p>
    <w:p>
      <w:pPr>
        <w:widowControl/>
        <w:spacing w:line="560" w:lineRule="exact"/>
        <w:ind w:firstLine="627" w:firstLineChars="196"/>
        <w:rPr>
          <w:rFonts w:eastAsia="仿宋_GB2312"/>
          <w:color w:val="000000"/>
          <w:kern w:val="0"/>
          <w:sz w:val="32"/>
          <w:szCs w:val="32"/>
        </w:rPr>
      </w:pPr>
      <w:r>
        <w:rPr>
          <w:rFonts w:eastAsia="仿宋_GB2312"/>
          <w:color w:val="000000"/>
          <w:kern w:val="0"/>
          <w:sz w:val="32"/>
          <w:szCs w:val="32"/>
        </w:rPr>
        <w:t>列出</w:t>
      </w:r>
      <w:r>
        <w:rPr>
          <w:rFonts w:hint="eastAsia" w:eastAsia="仿宋_GB2312"/>
          <w:sz w:val="32"/>
          <w:szCs w:val="32"/>
        </w:rPr>
        <w:t>金属冶炼</w:t>
      </w:r>
      <w:r>
        <w:rPr>
          <w:rFonts w:eastAsia="仿宋_GB2312"/>
          <w:color w:val="000000"/>
          <w:kern w:val="0"/>
          <w:sz w:val="32"/>
          <w:szCs w:val="32"/>
        </w:rPr>
        <w:t>建设项目危险有害因素辨识与分析参照标准，</w:t>
      </w:r>
      <w:r>
        <w:rPr>
          <w:rFonts w:hint="eastAsia" w:eastAsia="仿宋_GB2312"/>
          <w:color w:val="000000"/>
          <w:kern w:val="0"/>
          <w:sz w:val="32"/>
          <w:szCs w:val="32"/>
        </w:rPr>
        <w:t>如</w:t>
      </w:r>
      <w:r>
        <w:rPr>
          <w:rFonts w:eastAsia="仿宋_GB2312"/>
          <w:color w:val="000000"/>
          <w:kern w:val="0"/>
          <w:sz w:val="32"/>
          <w:szCs w:val="32"/>
        </w:rPr>
        <w:t>《危险化学品名</w:t>
      </w:r>
      <w:r>
        <w:rPr>
          <w:rFonts w:hint="eastAsia" w:eastAsia="仿宋_GB2312"/>
          <w:color w:val="000000"/>
          <w:kern w:val="0"/>
          <w:sz w:val="32"/>
          <w:szCs w:val="32"/>
        </w:rPr>
        <w:t>目</w:t>
      </w:r>
      <w:r>
        <w:rPr>
          <w:rFonts w:eastAsia="仿宋_GB2312"/>
          <w:color w:val="000000"/>
          <w:kern w:val="0"/>
          <w:sz w:val="32"/>
          <w:szCs w:val="32"/>
        </w:rPr>
        <w:t>录</w:t>
      </w:r>
      <w:r>
        <w:rPr>
          <w:rFonts w:hint="eastAsia" w:eastAsia="仿宋_GB2312"/>
          <w:color w:val="000000"/>
          <w:kern w:val="0"/>
          <w:sz w:val="32"/>
          <w:szCs w:val="32"/>
        </w:rPr>
        <w:t>（2015版）</w:t>
      </w:r>
      <w:r>
        <w:rPr>
          <w:rFonts w:eastAsia="仿宋_GB2312"/>
          <w:color w:val="000000"/>
          <w:kern w:val="0"/>
          <w:sz w:val="32"/>
          <w:szCs w:val="32"/>
        </w:rPr>
        <w:t>》《企业职工伤亡事故分类标准》</w:t>
      </w:r>
      <w:r>
        <w:rPr>
          <w:rFonts w:hint="eastAsia" w:eastAsia="仿宋_GB2312"/>
          <w:color w:val="000000"/>
          <w:kern w:val="0"/>
          <w:sz w:val="32"/>
          <w:szCs w:val="32"/>
        </w:rPr>
        <w:t>（GB6441）</w:t>
      </w:r>
      <w:r>
        <w:rPr>
          <w:rFonts w:eastAsia="仿宋_GB2312"/>
          <w:color w:val="000000"/>
          <w:kern w:val="0"/>
          <w:sz w:val="32"/>
          <w:szCs w:val="32"/>
        </w:rPr>
        <w:t>《生产过程</w:t>
      </w:r>
      <w:r>
        <w:rPr>
          <w:rFonts w:hint="eastAsia" w:eastAsia="仿宋_GB2312"/>
          <w:color w:val="000000"/>
          <w:kern w:val="0"/>
          <w:sz w:val="32"/>
          <w:szCs w:val="32"/>
        </w:rPr>
        <w:t>和</w:t>
      </w:r>
      <w:r>
        <w:rPr>
          <w:rFonts w:eastAsia="仿宋_GB2312"/>
          <w:color w:val="000000"/>
          <w:kern w:val="0"/>
          <w:sz w:val="32"/>
          <w:szCs w:val="32"/>
        </w:rPr>
        <w:t>危险有害因素分类与代码》</w:t>
      </w:r>
      <w:r>
        <w:rPr>
          <w:rFonts w:hint="eastAsia" w:eastAsia="仿宋_GB2312"/>
          <w:color w:val="000000"/>
          <w:kern w:val="0"/>
          <w:sz w:val="32"/>
          <w:szCs w:val="32"/>
        </w:rPr>
        <w:t>（GB13861）</w:t>
      </w:r>
      <w:r>
        <w:rPr>
          <w:rFonts w:eastAsia="仿宋_GB2312"/>
          <w:color w:val="000000"/>
          <w:kern w:val="0"/>
          <w:sz w:val="32"/>
          <w:szCs w:val="32"/>
        </w:rPr>
        <w:t>《职业病危险因素分类目录》等，辨识与分析涵盖人、物、环、管四个方面。</w:t>
      </w:r>
    </w:p>
    <w:p>
      <w:pPr>
        <w:spacing w:line="560" w:lineRule="exact"/>
        <w:outlineLvl w:val="1"/>
        <w:rPr>
          <w:rFonts w:eastAsia="黑体"/>
          <w:color w:val="000000"/>
          <w:sz w:val="32"/>
          <w:szCs w:val="32"/>
        </w:rPr>
      </w:pPr>
      <w:bookmarkStart w:id="61" w:name="_Toc498299323"/>
      <w:bookmarkStart w:id="62" w:name="_Toc498519793"/>
      <w:bookmarkStart w:id="63" w:name="_Toc500007140"/>
      <w:r>
        <w:rPr>
          <w:rFonts w:eastAsia="黑体"/>
          <w:color w:val="000000"/>
          <w:sz w:val="32"/>
          <w:szCs w:val="32"/>
        </w:rPr>
        <w:t>3.2建设项目固有危险有害因素辨识与分析</w:t>
      </w:r>
      <w:bookmarkEnd w:id="61"/>
      <w:bookmarkEnd w:id="62"/>
      <w:bookmarkEnd w:id="63"/>
    </w:p>
    <w:p>
      <w:pPr>
        <w:widowControl/>
        <w:spacing w:line="560" w:lineRule="exact"/>
        <w:ind w:firstLine="627" w:firstLineChars="196"/>
        <w:rPr>
          <w:rFonts w:eastAsia="仿宋_GB2312"/>
          <w:sz w:val="32"/>
          <w:szCs w:val="32"/>
        </w:rPr>
      </w:pPr>
      <w:r>
        <w:rPr>
          <w:rFonts w:hint="eastAsia" w:eastAsia="仿宋_GB2312"/>
          <w:sz w:val="32"/>
          <w:szCs w:val="32"/>
        </w:rPr>
        <w:t>辨识与</w:t>
      </w:r>
      <w:r>
        <w:rPr>
          <w:rFonts w:eastAsia="仿宋_GB2312"/>
          <w:sz w:val="32"/>
          <w:szCs w:val="32"/>
        </w:rPr>
        <w:t>分析</w:t>
      </w:r>
      <w:r>
        <w:rPr>
          <w:rFonts w:hint="eastAsia" w:eastAsia="仿宋_GB2312"/>
          <w:sz w:val="32"/>
          <w:szCs w:val="32"/>
        </w:rPr>
        <w:t>金属冶炼</w:t>
      </w:r>
      <w:r>
        <w:rPr>
          <w:rFonts w:eastAsia="仿宋_GB2312"/>
          <w:sz w:val="32"/>
          <w:szCs w:val="32"/>
        </w:rPr>
        <w:t>建设项目安全生产固有危险、有害因素。</w:t>
      </w:r>
    </w:p>
    <w:p>
      <w:pPr>
        <w:spacing w:line="560" w:lineRule="exact"/>
        <w:outlineLvl w:val="1"/>
        <w:rPr>
          <w:rFonts w:eastAsia="黑体"/>
          <w:color w:val="000000"/>
          <w:sz w:val="32"/>
          <w:szCs w:val="32"/>
        </w:rPr>
      </w:pPr>
      <w:bookmarkStart w:id="64" w:name="_Toc498519794"/>
      <w:bookmarkStart w:id="65" w:name="_Toc498299324"/>
      <w:bookmarkStart w:id="66" w:name="_Toc500007141"/>
      <w:r>
        <w:rPr>
          <w:rFonts w:eastAsia="黑体"/>
          <w:color w:val="000000"/>
          <w:sz w:val="32"/>
          <w:szCs w:val="32"/>
        </w:rPr>
        <w:t>3.3主要物料危险有害因素辨识与分析</w:t>
      </w:r>
      <w:bookmarkEnd w:id="64"/>
      <w:bookmarkEnd w:id="65"/>
      <w:bookmarkEnd w:id="66"/>
    </w:p>
    <w:p>
      <w:pPr>
        <w:spacing w:line="560" w:lineRule="exact"/>
        <w:ind w:firstLine="640" w:firstLineChars="200"/>
        <w:rPr>
          <w:rFonts w:eastAsia="仿宋_GB2312"/>
          <w:sz w:val="32"/>
          <w:szCs w:val="32"/>
        </w:rPr>
      </w:pPr>
      <w:r>
        <w:rPr>
          <w:rFonts w:eastAsia="仿宋_GB2312"/>
          <w:sz w:val="32"/>
          <w:szCs w:val="32"/>
        </w:rPr>
        <w:t>列出</w:t>
      </w:r>
      <w:r>
        <w:rPr>
          <w:rFonts w:hint="eastAsia" w:eastAsia="仿宋_GB2312"/>
          <w:sz w:val="32"/>
          <w:szCs w:val="32"/>
        </w:rPr>
        <w:t>金属冶炼</w:t>
      </w:r>
      <w:r>
        <w:rPr>
          <w:rFonts w:eastAsia="仿宋_GB2312"/>
          <w:sz w:val="32"/>
          <w:szCs w:val="32"/>
        </w:rPr>
        <w:t>建设项目在生产过程中使用和贮存的主要原辅材料、中间产品和成品、副产品的种类、数量、贮存、输送、使用情况</w:t>
      </w:r>
      <w:r>
        <w:rPr>
          <w:rFonts w:hint="eastAsia" w:eastAsia="仿宋_GB2312"/>
          <w:sz w:val="32"/>
          <w:szCs w:val="32"/>
        </w:rPr>
        <w:t>，</w:t>
      </w:r>
      <w:r>
        <w:rPr>
          <w:rFonts w:eastAsia="仿宋_GB2312"/>
          <w:sz w:val="32"/>
          <w:szCs w:val="32"/>
        </w:rPr>
        <w:t>分析其潜在的危险、有害因素及</w:t>
      </w:r>
      <w:r>
        <w:rPr>
          <w:rFonts w:hint="eastAsia" w:eastAsia="仿宋_GB2312"/>
          <w:sz w:val="32"/>
          <w:szCs w:val="32"/>
        </w:rPr>
        <w:t>危害</w:t>
      </w:r>
      <w:r>
        <w:rPr>
          <w:rFonts w:eastAsia="仿宋_GB2312"/>
          <w:sz w:val="32"/>
          <w:szCs w:val="32"/>
        </w:rPr>
        <w:t>程度，如高温熔融金属、燃气、酸碱、放射源等</w:t>
      </w:r>
      <w:r>
        <w:rPr>
          <w:rFonts w:hint="eastAsia" w:eastAsia="仿宋_GB2312"/>
          <w:sz w:val="32"/>
          <w:szCs w:val="32"/>
        </w:rPr>
        <w:t>危险有害物质的</w:t>
      </w:r>
      <w:r>
        <w:rPr>
          <w:rFonts w:eastAsia="仿宋_GB2312"/>
          <w:sz w:val="32"/>
          <w:szCs w:val="32"/>
        </w:rPr>
        <w:t>易燃、易爆、腐蚀性、毒害性、放射性等。</w:t>
      </w:r>
    </w:p>
    <w:p>
      <w:pPr>
        <w:spacing w:line="560" w:lineRule="exact"/>
        <w:outlineLvl w:val="1"/>
        <w:rPr>
          <w:rFonts w:eastAsia="黑体"/>
          <w:color w:val="000000"/>
          <w:sz w:val="32"/>
          <w:szCs w:val="32"/>
        </w:rPr>
      </w:pPr>
      <w:bookmarkStart w:id="67" w:name="_Toc498519795"/>
      <w:bookmarkStart w:id="68" w:name="_Toc498299325"/>
      <w:bookmarkStart w:id="69" w:name="_Toc500007142"/>
      <w:r>
        <w:rPr>
          <w:rFonts w:eastAsia="黑体"/>
          <w:color w:val="000000"/>
          <w:sz w:val="32"/>
          <w:szCs w:val="32"/>
        </w:rPr>
        <w:t>3.4建设项目各生产工艺系统、设备设施危险有害因素辨识与分析</w:t>
      </w:r>
      <w:bookmarkEnd w:id="67"/>
      <w:bookmarkEnd w:id="68"/>
      <w:bookmarkEnd w:id="69"/>
    </w:p>
    <w:p>
      <w:pPr>
        <w:spacing w:line="560" w:lineRule="exact"/>
        <w:ind w:firstLine="640" w:firstLineChars="200"/>
        <w:rPr>
          <w:rFonts w:eastAsia="仿宋_GB2312"/>
          <w:sz w:val="32"/>
          <w:szCs w:val="32"/>
        </w:rPr>
      </w:pPr>
      <w:r>
        <w:rPr>
          <w:rFonts w:eastAsia="仿宋_GB2312"/>
          <w:sz w:val="32"/>
          <w:szCs w:val="32"/>
        </w:rPr>
        <w:t>辨识生产工艺系统、设备设施存在的各类危险、有害因素及危害程度，分析包括正常操作、控制，以及故障等情况存在的危险、有害因素，并列出危险、有害因素的类别及存在的部位。</w:t>
      </w:r>
    </w:p>
    <w:p>
      <w:pPr>
        <w:spacing w:line="560" w:lineRule="exact"/>
        <w:ind w:firstLine="640" w:firstLineChars="200"/>
        <w:rPr>
          <w:rFonts w:eastAsia="仿宋_GB2312"/>
          <w:sz w:val="32"/>
          <w:szCs w:val="32"/>
        </w:rPr>
      </w:pPr>
      <w:r>
        <w:rPr>
          <w:rFonts w:eastAsia="仿宋_GB2312"/>
          <w:sz w:val="32"/>
          <w:szCs w:val="32"/>
        </w:rPr>
        <w:t>（1）主体生产系统存在的危险、有害因素及危害程度分析</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（2）辅助生产系统存在的危险、有害因素及危害程度分析。</w:t>
      </w:r>
    </w:p>
    <w:p>
      <w:pPr>
        <w:spacing w:line="560" w:lineRule="exact"/>
        <w:outlineLvl w:val="1"/>
        <w:rPr>
          <w:rFonts w:eastAsia="黑体"/>
          <w:color w:val="000000"/>
          <w:sz w:val="32"/>
          <w:szCs w:val="32"/>
        </w:rPr>
      </w:pPr>
      <w:bookmarkStart w:id="70" w:name="_Toc500007143"/>
      <w:bookmarkStart w:id="71" w:name="_Toc498299326"/>
      <w:bookmarkStart w:id="72" w:name="_Toc498519796"/>
      <w:r>
        <w:rPr>
          <w:rFonts w:eastAsia="黑体"/>
          <w:color w:val="000000"/>
          <w:sz w:val="32"/>
          <w:szCs w:val="32"/>
        </w:rPr>
        <w:t>3.5公用和辅助设备设施危险有害因素辨识与分析</w:t>
      </w:r>
      <w:bookmarkEnd w:id="70"/>
      <w:bookmarkEnd w:id="71"/>
      <w:bookmarkEnd w:id="72"/>
    </w:p>
    <w:p>
      <w:pPr>
        <w:spacing w:line="560" w:lineRule="exact"/>
        <w:ind w:firstLine="640" w:firstLineChars="200"/>
        <w:rPr>
          <w:rFonts w:eastAsia="仿宋_GB2312"/>
          <w:sz w:val="32"/>
          <w:szCs w:val="32"/>
        </w:rPr>
      </w:pPr>
      <w:r>
        <w:rPr>
          <w:rFonts w:eastAsia="仿宋_GB2312"/>
          <w:sz w:val="32"/>
          <w:szCs w:val="32"/>
        </w:rPr>
        <w:t>辨识生产性公用和辅助设备设施是否与主体生产工艺相配套，分析发生异常时对安全生产</w:t>
      </w:r>
      <w:bookmarkStart w:id="73" w:name="_Hlk498608007"/>
      <w:r>
        <w:rPr>
          <w:rFonts w:eastAsia="仿宋_GB2312"/>
          <w:sz w:val="32"/>
          <w:szCs w:val="32"/>
        </w:rPr>
        <w:t>可能</w:t>
      </w:r>
      <w:r>
        <w:rPr>
          <w:rFonts w:hint="eastAsia" w:eastAsia="仿宋_GB2312"/>
          <w:sz w:val="32"/>
          <w:szCs w:val="32"/>
        </w:rPr>
        <w:t>产生</w:t>
      </w:r>
      <w:r>
        <w:rPr>
          <w:rFonts w:eastAsia="仿宋_GB2312"/>
          <w:sz w:val="32"/>
          <w:szCs w:val="32"/>
        </w:rPr>
        <w:t>的</w:t>
      </w:r>
      <w:r>
        <w:rPr>
          <w:rFonts w:hint="eastAsia" w:eastAsia="仿宋_GB2312"/>
          <w:sz w:val="32"/>
          <w:szCs w:val="32"/>
        </w:rPr>
        <w:t>事故伤害类型</w:t>
      </w:r>
      <w:bookmarkEnd w:id="73"/>
      <w:r>
        <w:rPr>
          <w:rFonts w:eastAsia="仿宋_GB2312"/>
          <w:sz w:val="32"/>
          <w:szCs w:val="32"/>
        </w:rPr>
        <w:t>。</w:t>
      </w:r>
    </w:p>
    <w:p>
      <w:pPr>
        <w:spacing w:line="560" w:lineRule="exact"/>
        <w:outlineLvl w:val="1"/>
        <w:rPr>
          <w:rFonts w:eastAsia="黑体"/>
          <w:color w:val="000000"/>
          <w:sz w:val="32"/>
          <w:szCs w:val="32"/>
        </w:rPr>
      </w:pPr>
      <w:bookmarkStart w:id="74" w:name="_Toc500007144"/>
      <w:bookmarkStart w:id="75" w:name="_Toc498519798"/>
      <w:bookmarkStart w:id="76" w:name="_Toc498299328"/>
      <w:r>
        <w:rPr>
          <w:rFonts w:eastAsia="黑体"/>
          <w:color w:val="000000"/>
          <w:sz w:val="32"/>
          <w:szCs w:val="32"/>
        </w:rPr>
        <w:t>3.6厂内运输危险有害因素辨识与分析</w:t>
      </w:r>
      <w:bookmarkEnd w:id="74"/>
      <w:bookmarkEnd w:id="75"/>
      <w:bookmarkEnd w:id="76"/>
    </w:p>
    <w:p>
      <w:pPr>
        <w:spacing w:line="560" w:lineRule="exact"/>
        <w:ind w:firstLine="640" w:firstLineChars="200"/>
        <w:rPr>
          <w:rFonts w:eastAsia="仿宋_GB2312"/>
          <w:sz w:val="32"/>
          <w:szCs w:val="32"/>
        </w:rPr>
      </w:pPr>
      <w:r>
        <w:rPr>
          <w:rFonts w:eastAsia="仿宋_GB2312"/>
          <w:sz w:val="32"/>
          <w:szCs w:val="32"/>
        </w:rPr>
        <w:t>辨识厂内物料运输特点，分析可能产生的事故伤害类型。</w:t>
      </w:r>
    </w:p>
    <w:p>
      <w:pPr>
        <w:spacing w:line="560" w:lineRule="exact"/>
        <w:outlineLvl w:val="1"/>
        <w:rPr>
          <w:rFonts w:eastAsia="黑体"/>
          <w:color w:val="000000"/>
          <w:sz w:val="32"/>
          <w:szCs w:val="32"/>
        </w:rPr>
      </w:pPr>
      <w:bookmarkStart w:id="77" w:name="_Toc500007145"/>
      <w:bookmarkStart w:id="78" w:name="_Toc498519799"/>
      <w:bookmarkStart w:id="79" w:name="_Toc498299329"/>
      <w:r>
        <w:rPr>
          <w:rFonts w:eastAsia="黑体"/>
          <w:color w:val="000000"/>
          <w:sz w:val="32"/>
          <w:szCs w:val="32"/>
        </w:rPr>
        <w:t>3.7安全管理影响辨识与分析</w:t>
      </w:r>
      <w:bookmarkEnd w:id="77"/>
      <w:bookmarkEnd w:id="78"/>
      <w:bookmarkEnd w:id="79"/>
    </w:p>
    <w:p>
      <w:pPr>
        <w:spacing w:line="560" w:lineRule="exact"/>
        <w:ind w:firstLine="640" w:firstLineChars="200"/>
        <w:rPr>
          <w:rFonts w:eastAsia="仿宋_GB2312"/>
          <w:sz w:val="32"/>
          <w:szCs w:val="32"/>
        </w:rPr>
      </w:pPr>
      <w:r>
        <w:rPr>
          <w:rFonts w:eastAsia="仿宋_GB2312"/>
          <w:sz w:val="32"/>
          <w:szCs w:val="32"/>
        </w:rPr>
        <w:t>辨识</w:t>
      </w:r>
      <w:r>
        <w:rPr>
          <w:rFonts w:hint="eastAsia" w:eastAsia="仿宋_GB2312"/>
          <w:sz w:val="32"/>
          <w:szCs w:val="32"/>
        </w:rPr>
        <w:t>与</w:t>
      </w:r>
      <w:r>
        <w:rPr>
          <w:rFonts w:eastAsia="仿宋_GB2312"/>
          <w:sz w:val="32"/>
          <w:szCs w:val="32"/>
        </w:rPr>
        <w:t>分析安全管理不到位、安全培训与宣传不及时、安全规章制度和应急救援措施不周全、忽视安全设施配套建设和维护管理等</w:t>
      </w:r>
      <w:r>
        <w:rPr>
          <w:rFonts w:hint="eastAsia" w:eastAsia="仿宋_GB2312"/>
          <w:sz w:val="32"/>
          <w:szCs w:val="32"/>
        </w:rPr>
        <w:t>可能产生的事故伤害类型</w:t>
      </w:r>
      <w:r>
        <w:rPr>
          <w:rFonts w:eastAsia="仿宋_GB2312"/>
          <w:sz w:val="32"/>
          <w:szCs w:val="32"/>
        </w:rPr>
        <w:t>。</w:t>
      </w:r>
    </w:p>
    <w:p>
      <w:pPr>
        <w:spacing w:line="560" w:lineRule="exact"/>
        <w:outlineLvl w:val="1"/>
        <w:rPr>
          <w:rFonts w:eastAsia="黑体"/>
          <w:color w:val="000000"/>
          <w:sz w:val="32"/>
          <w:szCs w:val="32"/>
        </w:rPr>
      </w:pPr>
      <w:bookmarkStart w:id="80" w:name="_Toc498519800"/>
      <w:bookmarkStart w:id="81" w:name="_Toc498299330"/>
      <w:bookmarkStart w:id="82" w:name="_Toc500007146"/>
      <w:r>
        <w:rPr>
          <w:rFonts w:eastAsia="黑体"/>
          <w:color w:val="000000"/>
          <w:sz w:val="32"/>
          <w:szCs w:val="32"/>
        </w:rPr>
        <w:t>3.8自然环境及周边环境安全辨识与分析</w:t>
      </w:r>
      <w:bookmarkEnd w:id="80"/>
      <w:bookmarkEnd w:id="81"/>
      <w:bookmarkEnd w:id="82"/>
    </w:p>
    <w:p>
      <w:pPr>
        <w:spacing w:line="560" w:lineRule="exact"/>
        <w:ind w:firstLine="640" w:firstLineChars="200"/>
        <w:rPr>
          <w:rFonts w:eastAsia="仿宋_GB2312"/>
          <w:sz w:val="32"/>
          <w:szCs w:val="32"/>
        </w:rPr>
      </w:pPr>
      <w:r>
        <w:rPr>
          <w:rFonts w:eastAsia="仿宋_GB2312"/>
          <w:sz w:val="32"/>
          <w:szCs w:val="32"/>
        </w:rPr>
        <w:t>（1）当地自然条件对</w:t>
      </w:r>
      <w:r>
        <w:rPr>
          <w:rFonts w:hint="eastAsia" w:eastAsia="仿宋_GB2312"/>
          <w:sz w:val="32"/>
          <w:szCs w:val="32"/>
        </w:rPr>
        <w:t>金属冶炼</w:t>
      </w:r>
      <w:r>
        <w:rPr>
          <w:rFonts w:eastAsia="仿宋_GB2312"/>
          <w:sz w:val="32"/>
          <w:szCs w:val="32"/>
        </w:rPr>
        <w:t>建设项目安全生产的影响，包括自然环境状况（地形地貌、工程地质、水文、气象条件）及自然灾害（如断裂带、滑坡、泥石流、地震、湿陷性黄土、雷电、寒冻、洪水、暑热、大风、大雨、雪灾等）对本建设项目可能造成的危险、有害因素及危险、有害程度。</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金属冶炼</w:t>
      </w:r>
      <w:r>
        <w:rPr>
          <w:rFonts w:eastAsia="仿宋_GB2312"/>
          <w:sz w:val="32"/>
          <w:szCs w:val="32"/>
        </w:rPr>
        <w:t>建设项目与周边设施（公共设施、工业设施、交通设施等）生产、经营活动和居民生活在安全方面的相互影响；是否存在可能对本项目造成重大危险、伤害的生产或使用易燃、易爆、有毒、有害危险品的企业、设施，与本项目的相对位置等。</w:t>
      </w:r>
    </w:p>
    <w:p>
      <w:pPr>
        <w:spacing w:line="560" w:lineRule="exact"/>
        <w:outlineLvl w:val="1"/>
        <w:rPr>
          <w:rFonts w:eastAsia="黑体"/>
          <w:color w:val="000000"/>
          <w:sz w:val="32"/>
          <w:szCs w:val="32"/>
        </w:rPr>
      </w:pPr>
      <w:bookmarkStart w:id="83" w:name="_Toc498519806"/>
      <w:bookmarkStart w:id="84" w:name="_Toc500007147"/>
      <w:bookmarkStart w:id="85" w:name="_Toc498299336"/>
      <w:r>
        <w:rPr>
          <w:rFonts w:eastAsia="黑体"/>
          <w:color w:val="000000"/>
          <w:sz w:val="32"/>
          <w:szCs w:val="32"/>
        </w:rPr>
        <w:t>3.9事故</w:t>
      </w:r>
      <w:r>
        <w:rPr>
          <w:rFonts w:hint="eastAsia" w:eastAsia="黑体"/>
          <w:color w:val="000000"/>
          <w:sz w:val="32"/>
          <w:szCs w:val="32"/>
        </w:rPr>
        <w:t>后果</w:t>
      </w:r>
      <w:r>
        <w:rPr>
          <w:rFonts w:eastAsia="黑体"/>
          <w:color w:val="000000"/>
          <w:sz w:val="32"/>
          <w:szCs w:val="32"/>
        </w:rPr>
        <w:t>辨识与分析</w:t>
      </w:r>
      <w:bookmarkEnd w:id="83"/>
      <w:bookmarkEnd w:id="84"/>
      <w:bookmarkEnd w:id="85"/>
    </w:p>
    <w:p>
      <w:pPr>
        <w:spacing w:line="560" w:lineRule="exact"/>
        <w:ind w:firstLine="640" w:firstLineChars="200"/>
        <w:rPr>
          <w:rFonts w:eastAsia="仿宋_GB2312"/>
          <w:sz w:val="32"/>
          <w:szCs w:val="32"/>
        </w:rPr>
      </w:pPr>
      <w:r>
        <w:rPr>
          <w:rFonts w:eastAsia="仿宋_GB2312"/>
          <w:sz w:val="32"/>
          <w:szCs w:val="32"/>
        </w:rPr>
        <w:t>统计国内同类型</w:t>
      </w:r>
      <w:r>
        <w:rPr>
          <w:rFonts w:hint="eastAsia" w:eastAsia="仿宋_GB2312"/>
          <w:sz w:val="32"/>
          <w:szCs w:val="32"/>
        </w:rPr>
        <w:t>金属冶炼</w:t>
      </w:r>
      <w:r>
        <w:rPr>
          <w:rFonts w:eastAsia="仿宋_GB2312"/>
          <w:sz w:val="32"/>
          <w:szCs w:val="32"/>
        </w:rPr>
        <w:t>建设项目的生产事故案例，对建设项目危险有害因素的区域</w:t>
      </w:r>
      <w:r>
        <w:rPr>
          <w:rFonts w:hint="eastAsia" w:eastAsia="仿宋_GB2312"/>
          <w:sz w:val="32"/>
          <w:szCs w:val="32"/>
        </w:rPr>
        <w:t>可能发生的后果</w:t>
      </w:r>
      <w:r>
        <w:rPr>
          <w:rFonts w:eastAsia="仿宋_GB2312"/>
          <w:sz w:val="32"/>
          <w:szCs w:val="32"/>
        </w:rPr>
        <w:t>进行辨识</w:t>
      </w:r>
      <w:r>
        <w:rPr>
          <w:rFonts w:hint="eastAsia" w:eastAsia="仿宋_GB2312"/>
          <w:sz w:val="32"/>
          <w:szCs w:val="32"/>
        </w:rPr>
        <w:t>与分析</w:t>
      </w:r>
      <w:r>
        <w:rPr>
          <w:rFonts w:eastAsia="仿宋_GB2312"/>
          <w:sz w:val="32"/>
          <w:szCs w:val="32"/>
        </w:rPr>
        <w:t>。</w:t>
      </w:r>
    </w:p>
    <w:p>
      <w:pPr>
        <w:spacing w:line="560" w:lineRule="exact"/>
        <w:outlineLvl w:val="1"/>
        <w:rPr>
          <w:rFonts w:eastAsia="黑体"/>
          <w:color w:val="000000"/>
          <w:sz w:val="32"/>
          <w:szCs w:val="32"/>
        </w:rPr>
      </w:pPr>
      <w:bookmarkStart w:id="86" w:name="_Toc500007148"/>
      <w:bookmarkStart w:id="87" w:name="_Toc498299337"/>
      <w:bookmarkStart w:id="88" w:name="_Toc498519807"/>
      <w:r>
        <w:rPr>
          <w:rFonts w:eastAsia="黑体"/>
          <w:color w:val="000000"/>
          <w:sz w:val="32"/>
          <w:szCs w:val="32"/>
        </w:rPr>
        <w:t>3.10</w:t>
      </w:r>
      <w:r>
        <w:rPr>
          <w:rFonts w:hint="eastAsia" w:eastAsia="黑体"/>
          <w:color w:val="000000"/>
          <w:sz w:val="32"/>
          <w:szCs w:val="32"/>
        </w:rPr>
        <w:t>危险化学品</w:t>
      </w:r>
      <w:r>
        <w:rPr>
          <w:rFonts w:eastAsia="黑体"/>
          <w:color w:val="000000"/>
          <w:sz w:val="32"/>
          <w:szCs w:val="32"/>
        </w:rPr>
        <w:t>重大危险源辨识与分析</w:t>
      </w:r>
      <w:bookmarkEnd w:id="86"/>
      <w:bookmarkEnd w:id="87"/>
      <w:bookmarkEnd w:id="88"/>
    </w:p>
    <w:p>
      <w:pPr>
        <w:spacing w:line="560" w:lineRule="exact"/>
        <w:ind w:firstLine="640" w:firstLineChars="200"/>
        <w:rPr>
          <w:rFonts w:eastAsia="仿宋_GB2312"/>
          <w:kern w:val="0"/>
          <w:sz w:val="32"/>
          <w:szCs w:val="32"/>
        </w:rPr>
      </w:pPr>
      <w:r>
        <w:rPr>
          <w:rFonts w:hint="eastAsia" w:eastAsia="仿宋_GB2312"/>
          <w:kern w:val="0"/>
          <w:sz w:val="32"/>
          <w:szCs w:val="32"/>
        </w:rPr>
        <w:t>危险化学品重大危险源辨识</w:t>
      </w:r>
      <w:r>
        <w:rPr>
          <w:rFonts w:eastAsia="仿宋_GB2312"/>
          <w:kern w:val="0"/>
          <w:sz w:val="32"/>
          <w:szCs w:val="32"/>
        </w:rPr>
        <w:t>依据《</w:t>
      </w:r>
      <w:r>
        <w:rPr>
          <w:rFonts w:hint="eastAsia" w:eastAsia="仿宋_GB2312"/>
          <w:kern w:val="0"/>
          <w:sz w:val="32"/>
          <w:szCs w:val="32"/>
        </w:rPr>
        <w:t>危险化学品</w:t>
      </w:r>
      <w:r>
        <w:rPr>
          <w:rFonts w:eastAsia="仿宋_GB2312"/>
          <w:kern w:val="0"/>
          <w:sz w:val="32"/>
          <w:szCs w:val="32"/>
        </w:rPr>
        <w:t>重大危险源辨识》</w:t>
      </w:r>
      <w:r>
        <w:rPr>
          <w:rFonts w:hint="eastAsia" w:eastAsia="仿宋_GB2312"/>
          <w:kern w:val="0"/>
          <w:sz w:val="32"/>
          <w:szCs w:val="32"/>
        </w:rPr>
        <w:t>（GB18218）和《危险化学品重大危险源监督管理暂行规定》（国家安全监管总局令第40号）。</w:t>
      </w:r>
      <w:r>
        <w:rPr>
          <w:rFonts w:eastAsia="仿宋_GB2312"/>
          <w:kern w:val="0"/>
          <w:sz w:val="32"/>
          <w:szCs w:val="32"/>
        </w:rPr>
        <w:t>对有</w:t>
      </w:r>
      <w:r>
        <w:rPr>
          <w:rFonts w:hint="eastAsia" w:eastAsia="仿宋_GB2312"/>
          <w:kern w:val="0"/>
          <w:sz w:val="32"/>
          <w:szCs w:val="32"/>
        </w:rPr>
        <w:t>危险化学品</w:t>
      </w:r>
      <w:r>
        <w:rPr>
          <w:rFonts w:eastAsia="仿宋_GB2312"/>
          <w:kern w:val="0"/>
          <w:sz w:val="32"/>
          <w:szCs w:val="32"/>
        </w:rPr>
        <w:t>重大危险源的建设项目进行辨识与分析说明。</w:t>
      </w:r>
    </w:p>
    <w:p>
      <w:pPr>
        <w:spacing w:line="560" w:lineRule="exact"/>
        <w:ind w:firstLine="640" w:firstLineChars="200"/>
        <w:rPr>
          <w:rFonts w:eastAsia="仿宋_GB2312"/>
          <w:kern w:val="0"/>
          <w:sz w:val="32"/>
          <w:szCs w:val="32"/>
        </w:rPr>
      </w:pPr>
      <w:r>
        <w:rPr>
          <w:rFonts w:eastAsia="仿宋_GB2312"/>
          <w:kern w:val="0"/>
          <w:sz w:val="32"/>
          <w:szCs w:val="32"/>
        </w:rPr>
        <w:t>针对金属冶炼企业安全生产的特点，分析</w:t>
      </w:r>
      <w:r>
        <w:rPr>
          <w:rFonts w:hint="eastAsia" w:eastAsia="仿宋_GB2312"/>
          <w:sz w:val="32"/>
          <w:szCs w:val="32"/>
        </w:rPr>
        <w:t>金属冶炼</w:t>
      </w:r>
      <w:r>
        <w:rPr>
          <w:rFonts w:eastAsia="仿宋_GB2312"/>
          <w:kern w:val="0"/>
          <w:sz w:val="32"/>
          <w:szCs w:val="32"/>
        </w:rPr>
        <w:t>建设项目投产后可能造成多人伤亡或严重职业</w:t>
      </w:r>
      <w:r>
        <w:rPr>
          <w:rFonts w:hint="eastAsia" w:eastAsia="仿宋_GB2312"/>
          <w:kern w:val="0"/>
          <w:sz w:val="32"/>
          <w:szCs w:val="32"/>
        </w:rPr>
        <w:t>病</w:t>
      </w:r>
      <w:r>
        <w:rPr>
          <w:rFonts w:eastAsia="仿宋_GB2312"/>
          <w:kern w:val="0"/>
          <w:sz w:val="32"/>
          <w:szCs w:val="32"/>
        </w:rPr>
        <w:t>危害，或可能引起重大设备财产损毁的重点危险场所及设备设施</w:t>
      </w:r>
      <w:r>
        <w:rPr>
          <w:rFonts w:hint="eastAsia" w:eastAsia="仿宋_GB2312"/>
          <w:kern w:val="0"/>
          <w:sz w:val="32"/>
          <w:szCs w:val="32"/>
        </w:rPr>
        <w:t>的</w:t>
      </w:r>
      <w:r>
        <w:rPr>
          <w:rFonts w:eastAsia="仿宋_GB2312"/>
          <w:kern w:val="0"/>
          <w:sz w:val="32"/>
          <w:szCs w:val="32"/>
        </w:rPr>
        <w:t>危险性</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金属冶炼</w:t>
      </w:r>
      <w:r>
        <w:rPr>
          <w:rFonts w:hint="eastAsia" w:eastAsia="仿宋_GB2312"/>
          <w:kern w:val="0"/>
          <w:sz w:val="32"/>
          <w:szCs w:val="32"/>
        </w:rPr>
        <w:t>建设项目重点危险场所及设备</w:t>
      </w:r>
      <w:r>
        <w:rPr>
          <w:rFonts w:eastAsia="仿宋_GB2312"/>
          <w:kern w:val="0"/>
          <w:sz w:val="32"/>
          <w:szCs w:val="32"/>
        </w:rPr>
        <w:t>主要包括：</w:t>
      </w:r>
    </w:p>
    <w:p>
      <w:pPr>
        <w:spacing w:line="560" w:lineRule="exact"/>
        <w:ind w:firstLine="640" w:firstLineChars="200"/>
        <w:rPr>
          <w:rFonts w:eastAsia="仿宋_GB2312"/>
          <w:kern w:val="0"/>
          <w:sz w:val="32"/>
          <w:szCs w:val="32"/>
        </w:rPr>
      </w:pPr>
      <w:r>
        <w:rPr>
          <w:rFonts w:eastAsia="仿宋_GB2312"/>
          <w:kern w:val="0"/>
          <w:sz w:val="32"/>
          <w:szCs w:val="32"/>
        </w:rPr>
        <w:t>（1）冶炼炉窑，</w:t>
      </w:r>
      <w:r>
        <w:rPr>
          <w:rFonts w:hint="eastAsia" w:eastAsia="仿宋_GB2312"/>
          <w:kern w:val="0"/>
          <w:sz w:val="32"/>
          <w:szCs w:val="32"/>
        </w:rPr>
        <w:t>高温熔融金属（渣）</w:t>
      </w:r>
      <w:r>
        <w:rPr>
          <w:rFonts w:eastAsia="仿宋_GB2312"/>
          <w:kern w:val="0"/>
          <w:sz w:val="32"/>
          <w:szCs w:val="32"/>
        </w:rPr>
        <w:t>储存</w:t>
      </w:r>
      <w:r>
        <w:rPr>
          <w:rFonts w:hint="eastAsia" w:eastAsia="仿宋_GB2312"/>
          <w:kern w:val="0"/>
          <w:sz w:val="32"/>
          <w:szCs w:val="32"/>
        </w:rPr>
        <w:t>、</w:t>
      </w:r>
      <w:r>
        <w:rPr>
          <w:rFonts w:eastAsia="仿宋_GB2312"/>
          <w:kern w:val="0"/>
          <w:sz w:val="32"/>
          <w:szCs w:val="32"/>
        </w:rPr>
        <w:t>盛装容器</w:t>
      </w:r>
      <w:r>
        <w:rPr>
          <w:rFonts w:hint="eastAsia" w:eastAsia="仿宋_GB2312"/>
          <w:kern w:val="0"/>
          <w:sz w:val="32"/>
          <w:szCs w:val="32"/>
        </w:rPr>
        <w:t>、</w:t>
      </w:r>
      <w:r>
        <w:rPr>
          <w:rFonts w:eastAsia="仿宋_GB2312"/>
          <w:kern w:val="0"/>
          <w:sz w:val="32"/>
          <w:szCs w:val="32"/>
        </w:rPr>
        <w:t>吊</w:t>
      </w:r>
      <w:r>
        <w:rPr>
          <w:rFonts w:hint="eastAsia" w:eastAsia="仿宋_GB2312"/>
          <w:kern w:val="0"/>
          <w:sz w:val="32"/>
          <w:szCs w:val="32"/>
        </w:rPr>
        <w:t>、运</w:t>
      </w:r>
      <w:r>
        <w:rPr>
          <w:rFonts w:eastAsia="仿宋_GB2312"/>
          <w:kern w:val="0"/>
          <w:sz w:val="32"/>
          <w:szCs w:val="32"/>
        </w:rPr>
        <w:t>设备；</w:t>
      </w:r>
    </w:p>
    <w:p>
      <w:pPr>
        <w:spacing w:line="560" w:lineRule="exact"/>
        <w:ind w:firstLine="640" w:firstLineChars="200"/>
        <w:rPr>
          <w:rFonts w:eastAsia="仿宋_GB2312"/>
          <w:kern w:val="0"/>
          <w:sz w:val="32"/>
          <w:szCs w:val="32"/>
        </w:rPr>
      </w:pPr>
      <w:r>
        <w:rPr>
          <w:rFonts w:eastAsia="仿宋_GB2312"/>
          <w:kern w:val="0"/>
          <w:sz w:val="32"/>
          <w:szCs w:val="32"/>
        </w:rPr>
        <w:t>（2）反应槽、罐、池、釜和储液罐，以及高温设备及管道；</w:t>
      </w:r>
    </w:p>
    <w:p>
      <w:pPr>
        <w:spacing w:line="560" w:lineRule="exact"/>
        <w:ind w:firstLine="640" w:firstLineChars="200"/>
        <w:rPr>
          <w:rFonts w:eastAsia="仿宋_GB2312"/>
          <w:kern w:val="0"/>
          <w:sz w:val="32"/>
          <w:szCs w:val="32"/>
        </w:rPr>
      </w:pPr>
      <w:r>
        <w:rPr>
          <w:rFonts w:eastAsia="仿宋_GB2312"/>
          <w:kern w:val="0"/>
          <w:sz w:val="32"/>
          <w:szCs w:val="32"/>
        </w:rPr>
        <w:t>（3）煤气、天然气、</w:t>
      </w:r>
      <w:r>
        <w:rPr>
          <w:rFonts w:hint="eastAsia" w:eastAsia="仿宋_GB2312"/>
          <w:kern w:val="0"/>
          <w:sz w:val="32"/>
          <w:szCs w:val="32"/>
        </w:rPr>
        <w:t>氢气、氧气、</w:t>
      </w:r>
      <w:r>
        <w:rPr>
          <w:rFonts w:eastAsia="仿宋_GB2312"/>
          <w:kern w:val="0"/>
          <w:sz w:val="32"/>
          <w:szCs w:val="32"/>
        </w:rPr>
        <w:t>氮气、二氧化硫等有毒有害、易燃易爆气体的来源、输送、贮存和使用设备设施、场所；</w:t>
      </w:r>
    </w:p>
    <w:p>
      <w:pPr>
        <w:spacing w:line="560" w:lineRule="exact"/>
        <w:ind w:firstLine="640" w:firstLineChars="200"/>
        <w:rPr>
          <w:rFonts w:eastAsia="仿宋_GB2312"/>
          <w:kern w:val="0"/>
          <w:sz w:val="32"/>
          <w:szCs w:val="32"/>
        </w:rPr>
      </w:pPr>
      <w:r>
        <w:rPr>
          <w:rFonts w:eastAsia="仿宋_GB2312"/>
          <w:kern w:val="0"/>
          <w:sz w:val="32"/>
          <w:szCs w:val="32"/>
        </w:rPr>
        <w:t>（4）特种设备、磨机、固体物料输送系统；</w:t>
      </w:r>
    </w:p>
    <w:p>
      <w:pPr>
        <w:spacing w:line="560" w:lineRule="exact"/>
        <w:ind w:firstLine="640" w:firstLineChars="200"/>
        <w:rPr>
          <w:rFonts w:eastAsia="仿宋_GB2312"/>
          <w:kern w:val="0"/>
          <w:sz w:val="32"/>
          <w:szCs w:val="32"/>
        </w:rPr>
      </w:pPr>
      <w:r>
        <w:rPr>
          <w:rFonts w:eastAsia="仿宋_GB2312"/>
          <w:kern w:val="0"/>
          <w:sz w:val="32"/>
          <w:szCs w:val="32"/>
        </w:rPr>
        <w:t>（5）存在煤、铝、锌</w:t>
      </w:r>
      <w:r>
        <w:rPr>
          <w:rFonts w:hint="eastAsia" w:eastAsia="仿宋_GB2312"/>
          <w:kern w:val="0"/>
          <w:sz w:val="32"/>
          <w:szCs w:val="32"/>
        </w:rPr>
        <w:t>、镁</w:t>
      </w:r>
      <w:r>
        <w:rPr>
          <w:rFonts w:eastAsia="仿宋_GB2312"/>
          <w:kern w:val="0"/>
          <w:sz w:val="32"/>
          <w:szCs w:val="32"/>
        </w:rPr>
        <w:t>等粉尘爆炸危险的设备、设施；</w:t>
      </w:r>
    </w:p>
    <w:p>
      <w:pPr>
        <w:spacing w:line="560" w:lineRule="exact"/>
        <w:ind w:firstLine="640" w:firstLineChars="200"/>
        <w:rPr>
          <w:rFonts w:eastAsia="仿宋_GB2312"/>
          <w:kern w:val="0"/>
          <w:sz w:val="32"/>
          <w:szCs w:val="32"/>
        </w:rPr>
      </w:pPr>
      <w:r>
        <w:rPr>
          <w:rFonts w:eastAsia="仿宋_GB2312"/>
          <w:kern w:val="0"/>
          <w:sz w:val="32"/>
          <w:szCs w:val="32"/>
        </w:rPr>
        <w:t>（6）电缆隧道、油库等重点防火场所；</w:t>
      </w:r>
    </w:p>
    <w:p>
      <w:pPr>
        <w:spacing w:line="560" w:lineRule="exact"/>
        <w:ind w:firstLine="640" w:firstLineChars="200"/>
        <w:rPr>
          <w:rFonts w:eastAsia="仿宋_GB2312"/>
          <w:kern w:val="0"/>
          <w:sz w:val="32"/>
          <w:szCs w:val="32"/>
        </w:rPr>
      </w:pPr>
      <w:r>
        <w:rPr>
          <w:rFonts w:eastAsia="仿宋_GB2312"/>
          <w:kern w:val="0"/>
          <w:sz w:val="32"/>
          <w:szCs w:val="32"/>
        </w:rPr>
        <w:t>（7）放射源；</w:t>
      </w:r>
    </w:p>
    <w:p>
      <w:pPr>
        <w:spacing w:line="560" w:lineRule="exact"/>
        <w:ind w:firstLine="640" w:firstLineChars="200"/>
        <w:rPr>
          <w:rFonts w:eastAsia="仿宋_GB2312"/>
          <w:kern w:val="0"/>
          <w:sz w:val="32"/>
          <w:szCs w:val="32"/>
        </w:rPr>
      </w:pPr>
      <w:r>
        <w:rPr>
          <w:rFonts w:eastAsia="仿宋_GB2312"/>
          <w:kern w:val="0"/>
          <w:sz w:val="32"/>
          <w:szCs w:val="32"/>
        </w:rPr>
        <w:t>（8）有限空间；</w:t>
      </w:r>
    </w:p>
    <w:p>
      <w:pPr>
        <w:spacing w:line="560" w:lineRule="exact"/>
        <w:ind w:firstLine="640" w:firstLineChars="200"/>
        <w:rPr>
          <w:rFonts w:eastAsia="仿宋_GB2312"/>
          <w:kern w:val="0"/>
          <w:sz w:val="32"/>
          <w:szCs w:val="32"/>
        </w:rPr>
      </w:pPr>
      <w:r>
        <w:rPr>
          <w:rFonts w:eastAsia="仿宋_GB2312"/>
          <w:kern w:val="0"/>
          <w:sz w:val="32"/>
          <w:szCs w:val="32"/>
        </w:rPr>
        <w:t>（9）其他。</w:t>
      </w:r>
    </w:p>
    <w:p>
      <w:pPr>
        <w:spacing w:line="560" w:lineRule="exact"/>
        <w:outlineLvl w:val="1"/>
        <w:rPr>
          <w:rFonts w:eastAsia="黑体"/>
          <w:color w:val="000000"/>
          <w:sz w:val="32"/>
          <w:szCs w:val="32"/>
        </w:rPr>
      </w:pPr>
      <w:bookmarkStart w:id="89" w:name="_Toc498299339"/>
      <w:bookmarkStart w:id="90" w:name="_Toc498519809"/>
      <w:bookmarkStart w:id="91" w:name="_Toc500007149"/>
      <w:r>
        <w:rPr>
          <w:rFonts w:eastAsia="黑体"/>
          <w:color w:val="000000"/>
          <w:sz w:val="32"/>
          <w:szCs w:val="32"/>
        </w:rPr>
        <w:t>3.12其他危险有害因素</w:t>
      </w:r>
      <w:bookmarkEnd w:id="89"/>
      <w:bookmarkEnd w:id="90"/>
      <w:bookmarkEnd w:id="91"/>
    </w:p>
    <w:p>
      <w:pPr>
        <w:spacing w:line="560" w:lineRule="exact"/>
        <w:outlineLvl w:val="2"/>
        <w:rPr>
          <w:rFonts w:eastAsia="黑体"/>
          <w:bCs/>
          <w:sz w:val="32"/>
          <w:szCs w:val="32"/>
        </w:rPr>
      </w:pPr>
      <w:bookmarkStart w:id="92" w:name="_Toc500007150"/>
      <w:bookmarkStart w:id="93" w:name="_Toc498519810"/>
      <w:bookmarkStart w:id="94" w:name="_Toc498299340"/>
      <w:r>
        <w:rPr>
          <w:rFonts w:eastAsia="黑体"/>
          <w:bCs/>
          <w:sz w:val="32"/>
          <w:szCs w:val="32"/>
        </w:rPr>
        <w:t>3.12.1空气质量、温度、湿度</w:t>
      </w:r>
      <w:bookmarkEnd w:id="92"/>
      <w:bookmarkEnd w:id="93"/>
      <w:bookmarkEnd w:id="94"/>
    </w:p>
    <w:p>
      <w:pPr>
        <w:spacing w:line="560" w:lineRule="exact"/>
        <w:ind w:firstLine="640" w:firstLineChars="200"/>
        <w:rPr>
          <w:rFonts w:eastAsia="仿宋_GB2312"/>
          <w:kern w:val="0"/>
          <w:sz w:val="32"/>
          <w:szCs w:val="32"/>
        </w:rPr>
      </w:pPr>
      <w:r>
        <w:rPr>
          <w:rFonts w:eastAsia="仿宋_GB2312"/>
          <w:kern w:val="0"/>
          <w:sz w:val="32"/>
          <w:szCs w:val="32"/>
        </w:rPr>
        <w:t>作业环境不良对从业人员操作</w:t>
      </w:r>
      <w:r>
        <w:rPr>
          <w:rFonts w:hint="eastAsia" w:eastAsia="仿宋_GB2312"/>
          <w:kern w:val="0"/>
          <w:sz w:val="32"/>
          <w:szCs w:val="32"/>
        </w:rPr>
        <w:t>的影响进行辨识与分析</w:t>
      </w:r>
      <w:r>
        <w:rPr>
          <w:rFonts w:eastAsia="仿宋_GB2312"/>
          <w:kern w:val="0"/>
          <w:sz w:val="32"/>
          <w:szCs w:val="32"/>
        </w:rPr>
        <w:t>。</w:t>
      </w:r>
    </w:p>
    <w:p>
      <w:pPr>
        <w:spacing w:line="560" w:lineRule="exact"/>
        <w:outlineLvl w:val="2"/>
        <w:rPr>
          <w:rFonts w:eastAsia="黑体"/>
          <w:bCs/>
          <w:sz w:val="32"/>
          <w:szCs w:val="32"/>
        </w:rPr>
      </w:pPr>
      <w:bookmarkStart w:id="95" w:name="_Toc498299341"/>
      <w:bookmarkStart w:id="96" w:name="_Toc500007151"/>
      <w:bookmarkStart w:id="97" w:name="_Toc498519811"/>
      <w:r>
        <w:rPr>
          <w:rFonts w:eastAsia="黑体"/>
          <w:bCs/>
          <w:sz w:val="32"/>
          <w:szCs w:val="32"/>
        </w:rPr>
        <w:t>3.12.2采光、照明</w:t>
      </w:r>
      <w:bookmarkEnd w:id="95"/>
      <w:bookmarkEnd w:id="96"/>
      <w:bookmarkEnd w:id="97"/>
    </w:p>
    <w:p>
      <w:pPr>
        <w:spacing w:line="560" w:lineRule="exact"/>
        <w:ind w:firstLine="640" w:firstLineChars="200"/>
        <w:rPr>
          <w:rFonts w:eastAsia="仿宋_GB2312"/>
          <w:kern w:val="0"/>
          <w:sz w:val="32"/>
          <w:szCs w:val="32"/>
        </w:rPr>
      </w:pPr>
      <w:r>
        <w:rPr>
          <w:rFonts w:eastAsia="仿宋_GB2312"/>
          <w:kern w:val="0"/>
          <w:sz w:val="32"/>
          <w:szCs w:val="32"/>
        </w:rPr>
        <w:t>光照的亮度和照度不足</w:t>
      </w:r>
      <w:r>
        <w:rPr>
          <w:rFonts w:hint="eastAsia" w:eastAsia="仿宋_GB2312"/>
          <w:kern w:val="0"/>
          <w:sz w:val="32"/>
          <w:szCs w:val="32"/>
        </w:rPr>
        <w:t>对</w:t>
      </w:r>
      <w:r>
        <w:rPr>
          <w:rFonts w:eastAsia="仿宋_GB2312"/>
          <w:kern w:val="0"/>
          <w:sz w:val="32"/>
          <w:szCs w:val="32"/>
        </w:rPr>
        <w:t>操作</w:t>
      </w:r>
      <w:r>
        <w:rPr>
          <w:rFonts w:hint="eastAsia" w:eastAsia="仿宋_GB2312"/>
          <w:kern w:val="0"/>
          <w:sz w:val="32"/>
          <w:szCs w:val="32"/>
        </w:rPr>
        <w:t>的影响进行辨识与分析</w:t>
      </w:r>
      <w:r>
        <w:rPr>
          <w:rFonts w:eastAsia="仿宋_GB2312"/>
          <w:kern w:val="0"/>
          <w:sz w:val="32"/>
          <w:szCs w:val="32"/>
        </w:rPr>
        <w:t>。</w:t>
      </w:r>
    </w:p>
    <w:p>
      <w:pPr>
        <w:spacing w:line="560" w:lineRule="exact"/>
        <w:outlineLvl w:val="1"/>
        <w:rPr>
          <w:rFonts w:eastAsia="黑体"/>
          <w:color w:val="000000"/>
          <w:sz w:val="32"/>
          <w:szCs w:val="32"/>
        </w:rPr>
      </w:pPr>
      <w:bookmarkStart w:id="98" w:name="_Toc498299342"/>
      <w:bookmarkStart w:id="99" w:name="_Toc498519812"/>
      <w:bookmarkStart w:id="100" w:name="_Toc500007152"/>
      <w:r>
        <w:rPr>
          <w:rFonts w:eastAsia="黑体"/>
          <w:color w:val="000000"/>
          <w:sz w:val="32"/>
          <w:szCs w:val="32"/>
        </w:rPr>
        <w:t>3.13危险有害因素综述</w:t>
      </w:r>
      <w:bookmarkEnd w:id="98"/>
      <w:bookmarkEnd w:id="99"/>
      <w:bookmarkEnd w:id="100"/>
    </w:p>
    <w:p>
      <w:pPr>
        <w:spacing w:line="560" w:lineRule="exact"/>
        <w:ind w:firstLine="640" w:firstLineChars="200"/>
        <w:rPr>
          <w:rFonts w:eastAsia="仿宋_GB2312"/>
          <w:sz w:val="32"/>
          <w:szCs w:val="32"/>
        </w:rPr>
      </w:pPr>
      <w:r>
        <w:rPr>
          <w:rFonts w:eastAsia="仿宋_GB2312"/>
          <w:sz w:val="32"/>
          <w:szCs w:val="32"/>
        </w:rPr>
        <w:t>总结</w:t>
      </w:r>
      <w:r>
        <w:rPr>
          <w:rFonts w:hint="eastAsia" w:eastAsia="仿宋_GB2312"/>
          <w:sz w:val="32"/>
          <w:szCs w:val="32"/>
        </w:rPr>
        <w:t>金属冶炼</w:t>
      </w:r>
      <w:r>
        <w:rPr>
          <w:rFonts w:eastAsia="仿宋_GB2312"/>
          <w:sz w:val="32"/>
          <w:szCs w:val="32"/>
        </w:rPr>
        <w:t>建设项目危险有害因素辨识与分析</w:t>
      </w:r>
      <w:r>
        <w:rPr>
          <w:rFonts w:hint="eastAsia" w:eastAsia="仿宋_GB2312"/>
          <w:sz w:val="32"/>
          <w:szCs w:val="32"/>
        </w:rPr>
        <w:t>总体情况</w:t>
      </w:r>
      <w:r>
        <w:rPr>
          <w:rFonts w:eastAsia="仿宋_GB2312"/>
          <w:sz w:val="32"/>
          <w:szCs w:val="32"/>
        </w:rPr>
        <w:t>，以图表列出该</w:t>
      </w:r>
      <w:r>
        <w:rPr>
          <w:rFonts w:hint="eastAsia" w:eastAsia="仿宋_GB2312"/>
          <w:sz w:val="32"/>
          <w:szCs w:val="32"/>
        </w:rPr>
        <w:t>建设</w:t>
      </w:r>
      <w:r>
        <w:rPr>
          <w:rFonts w:eastAsia="仿宋_GB2312"/>
          <w:sz w:val="32"/>
          <w:szCs w:val="32"/>
        </w:rPr>
        <w:t>项目危险、有害因素的概况。</w:t>
      </w:r>
    </w:p>
    <w:p>
      <w:pPr>
        <w:spacing w:line="560" w:lineRule="exact"/>
        <w:outlineLvl w:val="0"/>
        <w:rPr>
          <w:rFonts w:eastAsia="黑体"/>
          <w:bCs/>
          <w:sz w:val="32"/>
          <w:szCs w:val="32"/>
        </w:rPr>
      </w:pPr>
      <w:bookmarkStart w:id="101" w:name="_Toc498299343"/>
      <w:bookmarkStart w:id="102" w:name="_Toc500007153"/>
      <w:bookmarkStart w:id="103" w:name="_Toc498519813"/>
      <w:r>
        <w:rPr>
          <w:rFonts w:eastAsia="黑体"/>
          <w:bCs/>
          <w:sz w:val="32"/>
          <w:szCs w:val="32"/>
        </w:rPr>
        <w:t>4.评价单元划分及评价方法选择</w:t>
      </w:r>
      <w:bookmarkEnd w:id="101"/>
      <w:bookmarkEnd w:id="102"/>
      <w:bookmarkEnd w:id="103"/>
    </w:p>
    <w:p>
      <w:pPr>
        <w:spacing w:line="560" w:lineRule="exact"/>
        <w:outlineLvl w:val="1"/>
        <w:rPr>
          <w:rFonts w:eastAsia="黑体"/>
          <w:color w:val="000000"/>
          <w:sz w:val="32"/>
          <w:szCs w:val="32"/>
        </w:rPr>
      </w:pPr>
      <w:bookmarkStart w:id="104" w:name="_Toc500007154"/>
      <w:bookmarkStart w:id="105" w:name="_Toc498519814"/>
      <w:bookmarkStart w:id="106" w:name="_Toc498299344"/>
      <w:r>
        <w:rPr>
          <w:rFonts w:eastAsia="黑体"/>
          <w:color w:val="000000"/>
          <w:sz w:val="32"/>
          <w:szCs w:val="32"/>
        </w:rPr>
        <w:t>4.1评价单元划分</w:t>
      </w:r>
      <w:bookmarkEnd w:id="104"/>
      <w:bookmarkEnd w:id="105"/>
      <w:bookmarkEnd w:id="106"/>
    </w:p>
    <w:p>
      <w:pPr>
        <w:spacing w:line="560" w:lineRule="exact"/>
        <w:outlineLvl w:val="2"/>
        <w:rPr>
          <w:rFonts w:eastAsia="黑体"/>
          <w:bCs/>
          <w:sz w:val="32"/>
          <w:szCs w:val="32"/>
        </w:rPr>
      </w:pPr>
      <w:bookmarkStart w:id="107" w:name="_Toc498519815"/>
      <w:bookmarkStart w:id="108" w:name="_Toc498299345"/>
      <w:bookmarkStart w:id="109" w:name="_Toc500007155"/>
      <w:r>
        <w:rPr>
          <w:rFonts w:eastAsia="黑体"/>
          <w:bCs/>
          <w:sz w:val="32"/>
          <w:szCs w:val="32"/>
        </w:rPr>
        <w:t>4.1.1评价单元划分原则</w:t>
      </w:r>
      <w:bookmarkEnd w:id="107"/>
      <w:bookmarkEnd w:id="108"/>
      <w:bookmarkEnd w:id="109"/>
    </w:p>
    <w:p>
      <w:pPr>
        <w:widowControl/>
        <w:spacing w:line="560" w:lineRule="exact"/>
        <w:ind w:firstLine="640" w:firstLineChars="200"/>
        <w:rPr>
          <w:rFonts w:eastAsia="仿宋_GB2312"/>
          <w:sz w:val="32"/>
          <w:szCs w:val="32"/>
        </w:rPr>
      </w:pPr>
      <w:r>
        <w:rPr>
          <w:rFonts w:eastAsia="仿宋_GB2312"/>
          <w:sz w:val="32"/>
          <w:szCs w:val="32"/>
        </w:rPr>
        <w:t>根据常用的评价单元划分原则和方法，划分评价单元应科学、合理、方便，应考虑以下原则：</w:t>
      </w:r>
    </w:p>
    <w:p>
      <w:pPr>
        <w:widowControl/>
        <w:spacing w:line="560" w:lineRule="exact"/>
        <w:ind w:firstLine="640"/>
        <w:rPr>
          <w:rFonts w:eastAsia="仿宋_GB2312"/>
          <w:sz w:val="32"/>
          <w:szCs w:val="32"/>
        </w:rPr>
      </w:pPr>
      <w:r>
        <w:rPr>
          <w:rFonts w:eastAsia="仿宋_GB2312"/>
          <w:sz w:val="32"/>
          <w:szCs w:val="32"/>
        </w:rPr>
        <w:t>（1）考虑外部条件：地理、气象、水文地质条件、周边环境、交通状况、居民分布等；</w:t>
      </w:r>
    </w:p>
    <w:p>
      <w:pPr>
        <w:widowControl/>
        <w:spacing w:line="560" w:lineRule="exact"/>
        <w:ind w:firstLine="640"/>
        <w:rPr>
          <w:rFonts w:eastAsia="仿宋_GB2312"/>
          <w:sz w:val="32"/>
          <w:szCs w:val="32"/>
        </w:rPr>
      </w:pPr>
      <w:r>
        <w:rPr>
          <w:rFonts w:eastAsia="仿宋_GB2312"/>
          <w:sz w:val="32"/>
          <w:szCs w:val="32"/>
        </w:rPr>
        <w:t>（2）考虑自身条件：危险物质及物料、工艺流程、设备设施相对位置、作业人员分布情况等；</w:t>
      </w:r>
    </w:p>
    <w:p>
      <w:pPr>
        <w:widowControl/>
        <w:spacing w:line="560" w:lineRule="exact"/>
        <w:ind w:firstLine="640"/>
        <w:rPr>
          <w:rFonts w:eastAsia="仿宋_GB2312"/>
          <w:sz w:val="32"/>
          <w:szCs w:val="32"/>
        </w:rPr>
      </w:pPr>
      <w:r>
        <w:rPr>
          <w:rFonts w:eastAsia="仿宋_GB2312"/>
          <w:sz w:val="32"/>
          <w:szCs w:val="32"/>
        </w:rPr>
        <w:t>（3）符合安全状况：危险有害因素类别，发生事故的可能性、事故严重程度与影响范围；</w:t>
      </w:r>
    </w:p>
    <w:p>
      <w:pPr>
        <w:widowControl/>
        <w:spacing w:line="560" w:lineRule="exact"/>
        <w:ind w:firstLine="640" w:firstLineChars="200"/>
        <w:rPr>
          <w:rFonts w:eastAsia="仿宋_GB2312"/>
          <w:sz w:val="32"/>
          <w:szCs w:val="32"/>
        </w:rPr>
      </w:pPr>
      <w:r>
        <w:rPr>
          <w:rFonts w:eastAsia="仿宋_GB2312"/>
          <w:sz w:val="32"/>
          <w:szCs w:val="32"/>
        </w:rPr>
        <w:t>（4）便于评价实施：评价单元应相对独立，具有明显的特征界限。</w:t>
      </w:r>
    </w:p>
    <w:p>
      <w:pPr>
        <w:spacing w:line="560" w:lineRule="exact"/>
        <w:outlineLvl w:val="2"/>
        <w:rPr>
          <w:rFonts w:eastAsia="黑体"/>
          <w:bCs/>
          <w:sz w:val="32"/>
          <w:szCs w:val="32"/>
        </w:rPr>
      </w:pPr>
      <w:bookmarkStart w:id="110" w:name="_Toc500007156"/>
      <w:bookmarkStart w:id="111" w:name="_Toc498519816"/>
      <w:bookmarkStart w:id="112" w:name="_Toc498299346"/>
      <w:r>
        <w:rPr>
          <w:rFonts w:eastAsia="黑体"/>
          <w:bCs/>
          <w:sz w:val="32"/>
          <w:szCs w:val="32"/>
        </w:rPr>
        <w:t>4.1.2评价单元划分过程与结果</w:t>
      </w:r>
      <w:bookmarkEnd w:id="110"/>
      <w:bookmarkEnd w:id="111"/>
      <w:bookmarkEnd w:id="112"/>
    </w:p>
    <w:p>
      <w:pPr>
        <w:spacing w:line="560" w:lineRule="exact"/>
        <w:ind w:firstLine="640" w:firstLineChars="200"/>
        <w:rPr>
          <w:rFonts w:eastAsia="仿宋_GB2312"/>
          <w:sz w:val="32"/>
          <w:szCs w:val="32"/>
        </w:rPr>
      </w:pPr>
      <w:r>
        <w:rPr>
          <w:rFonts w:eastAsia="仿宋_GB2312"/>
          <w:sz w:val="32"/>
          <w:szCs w:val="32"/>
        </w:rPr>
        <w:t>评价项目可以根据项目工艺技术特点和总体布局的实际情况，选择适合本项目的评价单元</w:t>
      </w:r>
      <w:r>
        <w:rPr>
          <w:rFonts w:hint="eastAsia" w:eastAsia="仿宋_GB2312"/>
          <w:sz w:val="32"/>
          <w:szCs w:val="32"/>
        </w:rPr>
        <w:t>。</w:t>
      </w:r>
      <w:r>
        <w:rPr>
          <w:rFonts w:eastAsia="仿宋_GB2312"/>
          <w:sz w:val="32"/>
          <w:szCs w:val="32"/>
        </w:rPr>
        <w:t>金属冶炼建设项目验收评价一般可以划分为以下评价单元。</w:t>
      </w:r>
    </w:p>
    <w:p>
      <w:pPr>
        <w:widowControl/>
        <w:spacing w:line="560" w:lineRule="exact"/>
        <w:ind w:firstLine="640" w:firstLineChars="200"/>
        <w:rPr>
          <w:rFonts w:eastAsia="仿宋_GB2312"/>
          <w:sz w:val="32"/>
          <w:szCs w:val="32"/>
        </w:rPr>
      </w:pPr>
      <w:bookmarkStart w:id="113" w:name="_Hlk498508512"/>
      <w:r>
        <w:rPr>
          <w:rFonts w:eastAsia="仿宋_GB2312"/>
          <w:sz w:val="32"/>
          <w:szCs w:val="32"/>
        </w:rPr>
        <w:t>（1）法律、法规等方面符合性；</w:t>
      </w:r>
    </w:p>
    <w:p>
      <w:pPr>
        <w:widowControl/>
        <w:spacing w:line="560" w:lineRule="exact"/>
        <w:ind w:firstLine="640" w:firstLineChars="200"/>
        <w:rPr>
          <w:rFonts w:eastAsia="仿宋_GB2312"/>
          <w:sz w:val="32"/>
          <w:szCs w:val="32"/>
        </w:rPr>
      </w:pPr>
      <w:r>
        <w:rPr>
          <w:rFonts w:eastAsia="仿宋_GB2312"/>
          <w:sz w:val="32"/>
          <w:szCs w:val="32"/>
        </w:rPr>
        <w:t>（2）选址</w:t>
      </w:r>
      <w:r>
        <w:rPr>
          <w:rFonts w:hint="eastAsia" w:eastAsia="仿宋_GB2312"/>
          <w:sz w:val="32"/>
          <w:szCs w:val="32"/>
        </w:rPr>
        <w:t>及总图布置</w:t>
      </w:r>
      <w:r>
        <w:rPr>
          <w:rFonts w:eastAsia="仿宋_GB2312"/>
          <w:sz w:val="32"/>
          <w:szCs w:val="32"/>
        </w:rPr>
        <w:t>单元；</w:t>
      </w:r>
    </w:p>
    <w:p>
      <w:pPr>
        <w:widowControl/>
        <w:spacing w:line="560" w:lineRule="exact"/>
        <w:ind w:firstLine="640" w:firstLineChars="200"/>
        <w:rPr>
          <w:rFonts w:eastAsia="仿宋_GB2312"/>
          <w:sz w:val="32"/>
          <w:szCs w:val="32"/>
        </w:rPr>
      </w:pPr>
      <w:r>
        <w:rPr>
          <w:rFonts w:hint="eastAsia" w:eastAsia="仿宋_GB2312"/>
          <w:sz w:val="32"/>
          <w:szCs w:val="32"/>
        </w:rPr>
        <w:t>（3）建筑及工艺布置单元；</w:t>
      </w:r>
    </w:p>
    <w:p>
      <w:pPr>
        <w:widowControl/>
        <w:spacing w:line="560" w:lineRule="exact"/>
        <w:ind w:firstLine="640" w:firstLineChars="200"/>
        <w:rPr>
          <w:rFonts w:eastAsia="仿宋_GB2312"/>
          <w:sz w:val="32"/>
          <w:szCs w:val="32"/>
        </w:rPr>
      </w:pPr>
      <w:r>
        <w:rPr>
          <w:rFonts w:eastAsia="仿宋_GB2312"/>
          <w:sz w:val="32"/>
          <w:szCs w:val="32"/>
        </w:rPr>
        <w:t>（4）物料、产品安全性能；</w:t>
      </w:r>
    </w:p>
    <w:p>
      <w:pPr>
        <w:widowControl/>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生产工艺系统、装置、设施、设备单元</w:t>
      </w:r>
      <w:r>
        <w:rPr>
          <w:rFonts w:eastAsia="仿宋_GB2312"/>
          <w:sz w:val="32"/>
          <w:szCs w:val="32"/>
        </w:rPr>
        <w:t>；</w:t>
      </w:r>
    </w:p>
    <w:p>
      <w:pPr>
        <w:widowControl/>
        <w:spacing w:line="560" w:lineRule="exact"/>
        <w:ind w:firstLine="640" w:firstLineChars="200"/>
        <w:rPr>
          <w:rFonts w:eastAsia="仿宋_GB2312"/>
          <w:sz w:val="32"/>
          <w:szCs w:val="32"/>
        </w:rPr>
      </w:pPr>
      <w:r>
        <w:rPr>
          <w:rFonts w:eastAsia="仿宋_GB2312"/>
          <w:sz w:val="32"/>
          <w:szCs w:val="32"/>
        </w:rPr>
        <w:t>（6）公用和辅助设备设施配套性；</w:t>
      </w:r>
    </w:p>
    <w:p>
      <w:pPr>
        <w:widowControl/>
        <w:spacing w:line="560" w:lineRule="exact"/>
        <w:ind w:firstLine="640" w:firstLineChars="200"/>
        <w:rPr>
          <w:rFonts w:eastAsia="仿宋_GB2312"/>
          <w:sz w:val="32"/>
          <w:szCs w:val="32"/>
        </w:rPr>
      </w:pPr>
      <w:r>
        <w:rPr>
          <w:rFonts w:eastAsia="仿宋_GB2312"/>
          <w:sz w:val="32"/>
          <w:szCs w:val="32"/>
        </w:rPr>
        <w:t>（7）易燃易爆</w:t>
      </w:r>
      <w:r>
        <w:rPr>
          <w:rFonts w:hint="eastAsia" w:eastAsia="仿宋_GB2312"/>
          <w:sz w:val="32"/>
          <w:szCs w:val="32"/>
        </w:rPr>
        <w:t>有毒</w:t>
      </w:r>
      <w:r>
        <w:rPr>
          <w:rFonts w:eastAsia="仿宋_GB2312"/>
          <w:sz w:val="32"/>
          <w:szCs w:val="32"/>
        </w:rPr>
        <w:t>场所单元；</w:t>
      </w:r>
    </w:p>
    <w:p>
      <w:pPr>
        <w:widowControl/>
        <w:spacing w:line="560" w:lineRule="exact"/>
        <w:ind w:firstLine="640" w:firstLineChars="200"/>
        <w:rPr>
          <w:rFonts w:eastAsia="仿宋_GB2312"/>
          <w:sz w:val="32"/>
          <w:szCs w:val="32"/>
        </w:rPr>
      </w:pPr>
      <w:r>
        <w:rPr>
          <w:rFonts w:eastAsia="仿宋_GB2312"/>
          <w:sz w:val="32"/>
          <w:szCs w:val="32"/>
        </w:rPr>
        <w:t>（8）特种设备</w:t>
      </w:r>
      <w:r>
        <w:rPr>
          <w:rFonts w:hint="eastAsia" w:eastAsia="仿宋_GB2312"/>
          <w:sz w:val="32"/>
          <w:szCs w:val="32"/>
        </w:rPr>
        <w:t>设施</w:t>
      </w:r>
      <w:r>
        <w:rPr>
          <w:rFonts w:eastAsia="仿宋_GB2312"/>
          <w:sz w:val="32"/>
          <w:szCs w:val="32"/>
        </w:rPr>
        <w:t>及强制检测设备设施单元；</w:t>
      </w:r>
    </w:p>
    <w:p>
      <w:pPr>
        <w:widowControl/>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周边环境适宜性评价</w:t>
      </w:r>
      <w:r>
        <w:rPr>
          <w:rFonts w:eastAsia="仿宋_GB2312"/>
          <w:sz w:val="32"/>
          <w:szCs w:val="32"/>
        </w:rPr>
        <w:t>；</w:t>
      </w:r>
    </w:p>
    <w:p>
      <w:pPr>
        <w:widowControl/>
        <w:spacing w:line="56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危险化学品</w:t>
      </w:r>
      <w:r>
        <w:rPr>
          <w:rFonts w:eastAsia="仿宋_GB2312"/>
          <w:sz w:val="32"/>
          <w:szCs w:val="32"/>
        </w:rPr>
        <w:t>重大危险源</w:t>
      </w:r>
      <w:r>
        <w:rPr>
          <w:rFonts w:hint="eastAsia" w:eastAsia="仿宋_GB2312"/>
          <w:sz w:val="32"/>
          <w:szCs w:val="32"/>
        </w:rPr>
        <w:t>；</w:t>
      </w:r>
    </w:p>
    <w:p>
      <w:pPr>
        <w:widowControl/>
        <w:spacing w:line="560" w:lineRule="exact"/>
        <w:ind w:firstLine="640" w:firstLineChars="200"/>
        <w:rPr>
          <w:rFonts w:eastAsia="仿宋_GB2312"/>
          <w:sz w:val="32"/>
          <w:szCs w:val="32"/>
        </w:rPr>
      </w:pPr>
      <w:r>
        <w:rPr>
          <w:rFonts w:eastAsia="仿宋_GB2312"/>
          <w:sz w:val="32"/>
          <w:szCs w:val="32"/>
        </w:rPr>
        <w:t>（11）安全管理及应急救援单元；</w:t>
      </w:r>
    </w:p>
    <w:p>
      <w:pPr>
        <w:widowControl/>
        <w:spacing w:line="560" w:lineRule="exact"/>
        <w:ind w:firstLine="640" w:firstLineChars="200"/>
        <w:rPr>
          <w:rFonts w:eastAsia="仿宋_GB2312"/>
          <w:sz w:val="32"/>
          <w:szCs w:val="32"/>
        </w:rPr>
      </w:pPr>
      <w:r>
        <w:rPr>
          <w:rFonts w:eastAsia="仿宋_GB2312"/>
          <w:sz w:val="32"/>
          <w:szCs w:val="32"/>
        </w:rPr>
        <w:t>（12）其</w:t>
      </w:r>
      <w:r>
        <w:rPr>
          <w:rFonts w:hint="eastAsia" w:eastAsia="仿宋_GB2312"/>
          <w:sz w:val="32"/>
          <w:szCs w:val="32"/>
        </w:rPr>
        <w:t>他</w:t>
      </w:r>
      <w:r>
        <w:rPr>
          <w:rFonts w:eastAsia="仿宋_GB2312"/>
          <w:sz w:val="32"/>
          <w:szCs w:val="32"/>
        </w:rPr>
        <w:t>安全设施单元。</w:t>
      </w:r>
    </w:p>
    <w:bookmarkEnd w:id="113"/>
    <w:p>
      <w:pPr>
        <w:spacing w:line="560" w:lineRule="exact"/>
        <w:outlineLvl w:val="1"/>
        <w:rPr>
          <w:rFonts w:eastAsia="黑体"/>
          <w:color w:val="000000"/>
          <w:sz w:val="32"/>
          <w:szCs w:val="32"/>
        </w:rPr>
      </w:pPr>
      <w:bookmarkStart w:id="114" w:name="_Toc498519817"/>
      <w:bookmarkStart w:id="115" w:name="_Toc498299347"/>
      <w:bookmarkStart w:id="116" w:name="_Toc500007157"/>
      <w:r>
        <w:rPr>
          <w:rFonts w:eastAsia="黑体"/>
          <w:color w:val="000000"/>
          <w:sz w:val="32"/>
          <w:szCs w:val="32"/>
        </w:rPr>
        <w:t>4.2评价方法确定</w:t>
      </w:r>
      <w:bookmarkEnd w:id="114"/>
      <w:bookmarkEnd w:id="115"/>
      <w:bookmarkEnd w:id="116"/>
    </w:p>
    <w:p>
      <w:pPr>
        <w:spacing w:line="560" w:lineRule="exact"/>
        <w:ind w:firstLine="640" w:firstLineChars="200"/>
        <w:rPr>
          <w:rFonts w:eastAsia="仿宋_GB2312"/>
          <w:sz w:val="32"/>
          <w:szCs w:val="32"/>
        </w:rPr>
      </w:pPr>
      <w:r>
        <w:rPr>
          <w:rFonts w:eastAsia="仿宋_GB2312"/>
          <w:sz w:val="32"/>
          <w:szCs w:val="32"/>
        </w:rPr>
        <w:t>为适应大量法规符合性检查的要求，可根据</w:t>
      </w:r>
      <w:r>
        <w:rPr>
          <w:rFonts w:hint="eastAsia" w:eastAsia="仿宋_GB2312"/>
          <w:sz w:val="32"/>
          <w:szCs w:val="32"/>
        </w:rPr>
        <w:t>金属冶炼</w:t>
      </w:r>
      <w:r>
        <w:rPr>
          <w:rFonts w:eastAsia="仿宋_GB2312"/>
          <w:sz w:val="32"/>
          <w:szCs w:val="32"/>
        </w:rPr>
        <w:t>建设项目实际情况</w:t>
      </w:r>
      <w:r>
        <w:rPr>
          <w:rFonts w:hint="eastAsia" w:eastAsia="仿宋_GB2312"/>
          <w:sz w:val="32"/>
          <w:szCs w:val="32"/>
        </w:rPr>
        <w:t>，</w:t>
      </w:r>
      <w:r>
        <w:rPr>
          <w:rFonts w:eastAsia="仿宋_GB2312"/>
          <w:sz w:val="32"/>
          <w:szCs w:val="32"/>
        </w:rPr>
        <w:t>选择相应的评价方法，</w:t>
      </w:r>
      <w:r>
        <w:rPr>
          <w:rFonts w:hint="eastAsia" w:eastAsia="仿宋_GB2312"/>
          <w:sz w:val="32"/>
          <w:szCs w:val="32"/>
        </w:rPr>
        <w:t>如</w:t>
      </w:r>
      <w:r>
        <w:rPr>
          <w:rFonts w:eastAsia="仿宋_GB2312"/>
          <w:sz w:val="32"/>
          <w:szCs w:val="32"/>
        </w:rPr>
        <w:t>安全检查表</w:t>
      </w:r>
      <w:r>
        <w:rPr>
          <w:rFonts w:hint="eastAsia" w:eastAsia="仿宋_GB2312"/>
          <w:sz w:val="32"/>
          <w:szCs w:val="32"/>
        </w:rPr>
        <w:t>、</w:t>
      </w:r>
      <w:r>
        <w:rPr>
          <w:rFonts w:eastAsia="仿宋_GB2312"/>
          <w:sz w:val="32"/>
          <w:szCs w:val="32"/>
        </w:rPr>
        <w:t>危险度与危险指数分析</w:t>
      </w:r>
      <w:r>
        <w:rPr>
          <w:rFonts w:hint="eastAsia" w:eastAsia="仿宋_GB2312"/>
          <w:sz w:val="32"/>
          <w:szCs w:val="32"/>
        </w:rPr>
        <w:t>、</w:t>
      </w:r>
      <w:r>
        <w:rPr>
          <w:rFonts w:eastAsia="仿宋_GB2312"/>
          <w:sz w:val="32"/>
          <w:szCs w:val="32"/>
        </w:rPr>
        <w:t>事故后果模拟与类比法等评价方法。</w:t>
      </w:r>
    </w:p>
    <w:p>
      <w:pPr>
        <w:spacing w:line="560" w:lineRule="exact"/>
        <w:outlineLvl w:val="1"/>
        <w:rPr>
          <w:rFonts w:eastAsia="黑体"/>
          <w:color w:val="000000"/>
          <w:sz w:val="32"/>
          <w:szCs w:val="32"/>
        </w:rPr>
      </w:pPr>
      <w:bookmarkStart w:id="117" w:name="_Toc498299348"/>
      <w:bookmarkStart w:id="118" w:name="_Toc498519818"/>
      <w:bookmarkStart w:id="119" w:name="_Toc500007158"/>
      <w:r>
        <w:rPr>
          <w:rFonts w:eastAsia="黑体"/>
          <w:color w:val="000000"/>
          <w:sz w:val="32"/>
          <w:szCs w:val="32"/>
        </w:rPr>
        <w:t>4.3评价方法简介</w:t>
      </w:r>
      <w:bookmarkEnd w:id="117"/>
      <w:bookmarkEnd w:id="118"/>
      <w:bookmarkEnd w:id="119"/>
    </w:p>
    <w:p>
      <w:pPr>
        <w:widowControl/>
        <w:spacing w:line="560" w:lineRule="exact"/>
        <w:ind w:firstLine="640" w:firstLineChars="200"/>
        <w:rPr>
          <w:rFonts w:eastAsia="黑体"/>
          <w:bCs/>
          <w:sz w:val="32"/>
          <w:szCs w:val="32"/>
        </w:rPr>
      </w:pPr>
      <w:r>
        <w:rPr>
          <w:rFonts w:eastAsia="仿宋_GB2312"/>
          <w:sz w:val="32"/>
          <w:szCs w:val="32"/>
        </w:rPr>
        <w:t>对照</w:t>
      </w:r>
      <w:r>
        <w:rPr>
          <w:rFonts w:hint="eastAsia" w:eastAsia="仿宋_GB2312"/>
          <w:sz w:val="32"/>
          <w:szCs w:val="32"/>
        </w:rPr>
        <w:t>金属冶炼</w:t>
      </w:r>
      <w:r>
        <w:rPr>
          <w:rFonts w:eastAsia="仿宋_GB2312"/>
          <w:sz w:val="32"/>
          <w:szCs w:val="32"/>
        </w:rPr>
        <w:t>建设项目《安全设施设计》，</w:t>
      </w:r>
      <w:r>
        <w:rPr>
          <w:rFonts w:hint="eastAsia" w:eastAsia="仿宋_GB2312"/>
          <w:sz w:val="32"/>
          <w:szCs w:val="32"/>
        </w:rPr>
        <w:t>选择相应的评价方法，对选择的评价方法进行简要介绍。</w:t>
      </w:r>
    </w:p>
    <w:p>
      <w:pPr>
        <w:spacing w:line="560" w:lineRule="exact"/>
        <w:outlineLvl w:val="0"/>
        <w:rPr>
          <w:rFonts w:eastAsia="黑体"/>
          <w:bCs/>
          <w:sz w:val="32"/>
          <w:szCs w:val="32"/>
        </w:rPr>
      </w:pPr>
      <w:bookmarkStart w:id="120" w:name="_Toc500007159"/>
      <w:bookmarkStart w:id="121" w:name="_Toc498519822"/>
      <w:bookmarkStart w:id="122" w:name="_Toc498299352"/>
      <w:r>
        <w:rPr>
          <w:rFonts w:eastAsia="黑体"/>
          <w:bCs/>
          <w:sz w:val="32"/>
          <w:szCs w:val="32"/>
        </w:rPr>
        <w:t>5.定性、定量分析危险、有害程度符合性评价结果</w:t>
      </w:r>
      <w:bookmarkEnd w:id="120"/>
      <w:bookmarkEnd w:id="121"/>
      <w:bookmarkEnd w:id="122"/>
    </w:p>
    <w:p>
      <w:pPr>
        <w:spacing w:line="560" w:lineRule="exact"/>
        <w:outlineLvl w:val="1"/>
        <w:rPr>
          <w:rFonts w:eastAsia="黑体"/>
          <w:color w:val="000000"/>
          <w:sz w:val="32"/>
          <w:szCs w:val="32"/>
        </w:rPr>
      </w:pPr>
      <w:bookmarkStart w:id="123" w:name="_Toc498519823"/>
      <w:bookmarkStart w:id="124" w:name="_Toc498299353"/>
      <w:bookmarkStart w:id="125" w:name="_Toc500007160"/>
      <w:r>
        <w:rPr>
          <w:rFonts w:eastAsia="黑体"/>
          <w:color w:val="000000"/>
          <w:sz w:val="32"/>
          <w:szCs w:val="32"/>
        </w:rPr>
        <w:t>5.1法律法规符合性</w:t>
      </w:r>
      <w:bookmarkEnd w:id="123"/>
      <w:bookmarkEnd w:id="124"/>
      <w:bookmarkEnd w:id="125"/>
    </w:p>
    <w:p>
      <w:pPr>
        <w:spacing w:line="560" w:lineRule="exact"/>
        <w:outlineLvl w:val="2"/>
        <w:rPr>
          <w:rFonts w:eastAsia="黑体"/>
          <w:bCs/>
          <w:sz w:val="32"/>
          <w:szCs w:val="32"/>
        </w:rPr>
      </w:pPr>
      <w:bookmarkStart w:id="126" w:name="_Toc498299354"/>
      <w:bookmarkStart w:id="127" w:name="_Toc500007161"/>
      <w:bookmarkStart w:id="128" w:name="_Toc498519824"/>
      <w:r>
        <w:rPr>
          <w:rFonts w:eastAsia="黑体"/>
          <w:bCs/>
          <w:sz w:val="32"/>
          <w:szCs w:val="32"/>
        </w:rPr>
        <w:t>5.1.1安全设施“三同时”程序</w:t>
      </w:r>
      <w:bookmarkEnd w:id="126"/>
      <w:bookmarkEnd w:id="127"/>
      <w:bookmarkEnd w:id="128"/>
    </w:p>
    <w:p>
      <w:pPr>
        <w:widowControl/>
        <w:spacing w:line="560" w:lineRule="exact"/>
        <w:ind w:firstLine="640" w:firstLineChars="200"/>
        <w:rPr>
          <w:rFonts w:eastAsia="仿宋_GB2312"/>
          <w:sz w:val="32"/>
          <w:szCs w:val="32"/>
        </w:rPr>
      </w:pPr>
      <w:r>
        <w:rPr>
          <w:rFonts w:eastAsia="仿宋_GB2312"/>
          <w:sz w:val="32"/>
          <w:szCs w:val="32"/>
        </w:rPr>
        <w:t>根据有关法律、法规、部门规章等规定，检查建设企业的合法证件，对项目安全设施“三同时”的程序及实施情况的合法性进行评价。主要对安全预评价、安全设施设计、施工单位资质、监理单位资质、工程地质勘察单位资质、周边居民及建构筑物搬迁等方面进行符合性评价。</w:t>
      </w:r>
    </w:p>
    <w:p>
      <w:pPr>
        <w:spacing w:line="560" w:lineRule="exact"/>
        <w:outlineLvl w:val="2"/>
        <w:rPr>
          <w:rFonts w:eastAsia="黑体"/>
          <w:bCs/>
          <w:sz w:val="32"/>
          <w:szCs w:val="32"/>
        </w:rPr>
      </w:pPr>
      <w:bookmarkStart w:id="129" w:name="_Toc500007162"/>
      <w:bookmarkStart w:id="130" w:name="_Toc498299355"/>
      <w:bookmarkStart w:id="131" w:name="_Toc498519825"/>
      <w:r>
        <w:rPr>
          <w:rFonts w:eastAsia="黑体"/>
          <w:bCs/>
          <w:sz w:val="32"/>
          <w:szCs w:val="32"/>
        </w:rPr>
        <w:t>5.1.2安全设施专项投资情况</w:t>
      </w:r>
      <w:bookmarkEnd w:id="129"/>
      <w:bookmarkEnd w:id="130"/>
      <w:bookmarkEnd w:id="131"/>
    </w:p>
    <w:p>
      <w:pPr>
        <w:widowControl/>
        <w:spacing w:line="560" w:lineRule="exact"/>
        <w:ind w:firstLine="640" w:firstLineChars="200"/>
        <w:rPr>
          <w:rFonts w:eastAsia="仿宋_GB2312"/>
          <w:sz w:val="32"/>
          <w:szCs w:val="32"/>
        </w:rPr>
      </w:pPr>
      <w:r>
        <w:rPr>
          <w:rFonts w:eastAsia="仿宋_GB2312"/>
          <w:sz w:val="32"/>
          <w:szCs w:val="32"/>
        </w:rPr>
        <w:t>根据《安全设施设计》，对以下专项投资情况进行评价：</w:t>
      </w:r>
    </w:p>
    <w:p>
      <w:pPr>
        <w:widowControl/>
        <w:spacing w:line="560" w:lineRule="exact"/>
        <w:ind w:firstLine="640" w:firstLineChars="200"/>
        <w:rPr>
          <w:rFonts w:eastAsia="仿宋_GB2312"/>
          <w:sz w:val="32"/>
          <w:szCs w:val="32"/>
        </w:rPr>
      </w:pPr>
      <w:r>
        <w:rPr>
          <w:rFonts w:eastAsia="仿宋_GB2312"/>
          <w:sz w:val="32"/>
          <w:szCs w:val="32"/>
        </w:rPr>
        <w:t>（1）安全设施投资及其占总投资的比例是否符合《安全设施设计》进行评价；</w:t>
      </w:r>
    </w:p>
    <w:p>
      <w:pPr>
        <w:widowControl/>
        <w:spacing w:line="560" w:lineRule="exact"/>
        <w:ind w:firstLine="640" w:firstLineChars="200"/>
        <w:rPr>
          <w:rFonts w:eastAsia="仿宋_GB2312"/>
          <w:sz w:val="32"/>
          <w:szCs w:val="32"/>
        </w:rPr>
      </w:pPr>
      <w:r>
        <w:rPr>
          <w:rFonts w:eastAsia="仿宋_GB2312"/>
          <w:sz w:val="32"/>
          <w:szCs w:val="32"/>
        </w:rPr>
        <w:t>（2）建设项目安全设施分类投资及其占安全设施投资的比例，包括：主要生产环节及设备安全防范设施费用、</w:t>
      </w:r>
      <w:r>
        <w:rPr>
          <w:rFonts w:hint="eastAsia" w:eastAsia="仿宋_GB2312"/>
          <w:sz w:val="32"/>
          <w:szCs w:val="32"/>
        </w:rPr>
        <w:t>危险化学品</w:t>
      </w:r>
      <w:r>
        <w:rPr>
          <w:rFonts w:eastAsia="仿宋_GB2312"/>
          <w:sz w:val="32"/>
          <w:szCs w:val="32"/>
        </w:rPr>
        <w:t>重大危险源和重点危险场所及设备设施的检测与监控费用、安全教育培训设施费用、事故应急措施费用、安全评价和安全设施设计编制费用、特种设备检测费用、其他安全投资等。并采用表格形式将各项费用分别列支。是否符合《安全设施设计》进行评价。</w:t>
      </w:r>
    </w:p>
    <w:p>
      <w:pPr>
        <w:spacing w:line="560" w:lineRule="exact"/>
        <w:outlineLvl w:val="1"/>
        <w:rPr>
          <w:rFonts w:eastAsia="黑体"/>
          <w:color w:val="000000"/>
          <w:sz w:val="32"/>
          <w:szCs w:val="32"/>
        </w:rPr>
      </w:pPr>
      <w:bookmarkStart w:id="132" w:name="_Toc498519826"/>
      <w:bookmarkStart w:id="133" w:name="_Toc500007163"/>
      <w:bookmarkStart w:id="134" w:name="_Toc498299356"/>
      <w:r>
        <w:rPr>
          <w:rFonts w:eastAsia="黑体"/>
          <w:color w:val="000000"/>
          <w:sz w:val="32"/>
          <w:szCs w:val="32"/>
        </w:rPr>
        <w:t>5.2选址</w:t>
      </w:r>
      <w:r>
        <w:rPr>
          <w:rFonts w:hint="eastAsia" w:eastAsia="黑体"/>
          <w:color w:val="000000"/>
          <w:sz w:val="32"/>
          <w:szCs w:val="32"/>
        </w:rPr>
        <w:t>及总图布置</w:t>
      </w:r>
      <w:r>
        <w:rPr>
          <w:rFonts w:eastAsia="黑体"/>
          <w:color w:val="000000"/>
          <w:sz w:val="32"/>
          <w:szCs w:val="32"/>
        </w:rPr>
        <w:t>单元</w:t>
      </w:r>
      <w:bookmarkEnd w:id="132"/>
      <w:bookmarkEnd w:id="133"/>
      <w:bookmarkEnd w:id="134"/>
    </w:p>
    <w:p>
      <w:pPr>
        <w:spacing w:line="560" w:lineRule="exact"/>
        <w:outlineLvl w:val="2"/>
        <w:rPr>
          <w:rFonts w:eastAsia="黑体"/>
          <w:bCs/>
          <w:sz w:val="32"/>
          <w:szCs w:val="32"/>
        </w:rPr>
      </w:pPr>
      <w:bookmarkStart w:id="135" w:name="_Toc500007164"/>
      <w:r>
        <w:rPr>
          <w:rFonts w:eastAsia="黑体"/>
          <w:bCs/>
          <w:sz w:val="32"/>
          <w:szCs w:val="32"/>
        </w:rPr>
        <w:t>5.2.1</w:t>
      </w:r>
      <w:r>
        <w:rPr>
          <w:rFonts w:hint="eastAsia" w:eastAsia="黑体"/>
          <w:bCs/>
          <w:sz w:val="32"/>
          <w:szCs w:val="32"/>
        </w:rPr>
        <w:t>选址</w:t>
      </w:r>
      <w:bookmarkEnd w:id="135"/>
    </w:p>
    <w:p>
      <w:pPr>
        <w:widowControl/>
        <w:spacing w:line="560" w:lineRule="exact"/>
        <w:ind w:firstLine="640" w:firstLineChars="200"/>
        <w:rPr>
          <w:rFonts w:eastAsia="仿宋_GB2312"/>
          <w:sz w:val="32"/>
          <w:szCs w:val="32"/>
        </w:rPr>
      </w:pPr>
      <w:r>
        <w:rPr>
          <w:rFonts w:hint="eastAsia" w:eastAsia="仿宋_GB2312"/>
          <w:sz w:val="32"/>
          <w:szCs w:val="32"/>
        </w:rPr>
        <w:t>金属冶炼</w:t>
      </w:r>
      <w:r>
        <w:rPr>
          <w:rFonts w:eastAsia="仿宋_GB2312"/>
          <w:sz w:val="32"/>
          <w:szCs w:val="32"/>
        </w:rPr>
        <w:t>建设项目总图应按照建设项目的性质、规模、和生产特点，根据</w:t>
      </w:r>
      <w:r>
        <w:rPr>
          <w:rFonts w:hint="eastAsia" w:eastAsia="仿宋_GB2312"/>
          <w:sz w:val="32"/>
          <w:szCs w:val="32"/>
        </w:rPr>
        <w:t>《安全设施设计》</w:t>
      </w:r>
      <w:r>
        <w:rPr>
          <w:rFonts w:eastAsia="仿宋_GB2312"/>
          <w:sz w:val="32"/>
          <w:szCs w:val="32"/>
        </w:rPr>
        <w:t>要求，对所选厂址自然环境条件存在的主要危险因素及自然灾害相应的防范措施等进行符合性评价。对是否满足防火、运输安全和生产安全进行评价。</w:t>
      </w:r>
    </w:p>
    <w:p>
      <w:pPr>
        <w:spacing w:line="560" w:lineRule="exact"/>
        <w:outlineLvl w:val="2"/>
        <w:rPr>
          <w:rFonts w:eastAsia="黑体"/>
          <w:bCs/>
          <w:sz w:val="32"/>
          <w:szCs w:val="32"/>
        </w:rPr>
      </w:pPr>
      <w:bookmarkStart w:id="136" w:name="_Toc498519827"/>
      <w:bookmarkStart w:id="137" w:name="_Toc500007165"/>
      <w:bookmarkStart w:id="138" w:name="_Toc498299357"/>
      <w:r>
        <w:rPr>
          <w:rFonts w:eastAsia="黑体"/>
          <w:bCs/>
          <w:sz w:val="32"/>
          <w:szCs w:val="32"/>
        </w:rPr>
        <w:t>5.2.2总图布置</w:t>
      </w:r>
      <w:bookmarkEnd w:id="136"/>
      <w:bookmarkEnd w:id="137"/>
      <w:bookmarkEnd w:id="138"/>
    </w:p>
    <w:p>
      <w:pPr>
        <w:widowControl/>
        <w:spacing w:line="560" w:lineRule="exact"/>
        <w:ind w:firstLine="640" w:firstLineChars="200"/>
        <w:rPr>
          <w:rFonts w:eastAsia="仿宋_GB2312"/>
          <w:sz w:val="32"/>
          <w:szCs w:val="32"/>
        </w:rPr>
      </w:pPr>
      <w:r>
        <w:rPr>
          <w:rFonts w:hint="eastAsia" w:eastAsia="仿宋_GB2312"/>
          <w:sz w:val="32"/>
          <w:szCs w:val="32"/>
        </w:rPr>
        <w:t>金属冶炼</w:t>
      </w:r>
      <w:r>
        <w:rPr>
          <w:rFonts w:eastAsia="仿宋_GB2312"/>
          <w:sz w:val="32"/>
          <w:szCs w:val="32"/>
        </w:rPr>
        <w:t>建设项目总图包括：总平面布置、竖向布置、厂区道路、物流运输、人流布置、安全出口及综合管线布置等方面。根据有关的安全生产法规和标准，以及安全预评价、安全设施安全设计资料，形成总图布置安全检查表。列出有关的安全生产法规和标准条款规定，进行评价。</w:t>
      </w:r>
    </w:p>
    <w:p>
      <w:pPr>
        <w:spacing w:line="560" w:lineRule="exact"/>
        <w:outlineLvl w:val="1"/>
        <w:rPr>
          <w:rFonts w:eastAsia="黑体"/>
          <w:color w:val="000000"/>
          <w:sz w:val="32"/>
          <w:szCs w:val="32"/>
        </w:rPr>
      </w:pPr>
      <w:bookmarkStart w:id="139" w:name="_Toc498519828"/>
      <w:bookmarkStart w:id="140" w:name="_Toc500007166"/>
      <w:bookmarkStart w:id="141" w:name="_Toc498299358"/>
      <w:r>
        <w:rPr>
          <w:rFonts w:eastAsia="黑体"/>
          <w:color w:val="000000"/>
          <w:sz w:val="32"/>
          <w:szCs w:val="32"/>
        </w:rPr>
        <w:t>5.3建筑及工艺布置单元</w:t>
      </w:r>
      <w:bookmarkEnd w:id="139"/>
      <w:bookmarkEnd w:id="140"/>
      <w:bookmarkEnd w:id="141"/>
    </w:p>
    <w:p>
      <w:pPr>
        <w:spacing w:line="560" w:lineRule="exact"/>
        <w:outlineLvl w:val="2"/>
        <w:rPr>
          <w:rFonts w:eastAsia="黑体"/>
          <w:bCs/>
          <w:sz w:val="32"/>
          <w:szCs w:val="32"/>
        </w:rPr>
      </w:pPr>
      <w:bookmarkStart w:id="142" w:name="_Toc500007167"/>
      <w:bookmarkStart w:id="143" w:name="_Toc498299359"/>
      <w:bookmarkStart w:id="144" w:name="_Toc498519829"/>
      <w:r>
        <w:rPr>
          <w:rFonts w:eastAsia="黑体"/>
          <w:bCs/>
          <w:sz w:val="32"/>
          <w:szCs w:val="32"/>
        </w:rPr>
        <w:t>5.3.1厂房及结构</w:t>
      </w:r>
      <w:bookmarkEnd w:id="142"/>
      <w:bookmarkEnd w:id="143"/>
      <w:bookmarkEnd w:id="144"/>
    </w:p>
    <w:p>
      <w:pPr>
        <w:widowControl/>
        <w:spacing w:line="560" w:lineRule="exact"/>
        <w:ind w:firstLine="640" w:firstLineChars="200"/>
        <w:rPr>
          <w:rFonts w:eastAsia="仿宋_GB2312"/>
          <w:sz w:val="32"/>
          <w:szCs w:val="32"/>
        </w:rPr>
      </w:pPr>
      <w:r>
        <w:rPr>
          <w:rFonts w:eastAsia="仿宋_GB2312"/>
          <w:sz w:val="32"/>
          <w:szCs w:val="32"/>
        </w:rPr>
        <w:t>对</w:t>
      </w:r>
      <w:r>
        <w:rPr>
          <w:rFonts w:hint="eastAsia" w:eastAsia="仿宋_GB2312"/>
          <w:sz w:val="32"/>
          <w:szCs w:val="32"/>
        </w:rPr>
        <w:t>金属冶炼</w:t>
      </w:r>
      <w:r>
        <w:rPr>
          <w:rFonts w:eastAsia="仿宋_GB2312"/>
          <w:sz w:val="32"/>
          <w:szCs w:val="32"/>
        </w:rPr>
        <w:t>建设项目厂房及结构布置进行符合性评价：</w:t>
      </w:r>
    </w:p>
    <w:p>
      <w:pPr>
        <w:widowControl/>
        <w:spacing w:line="560" w:lineRule="exact"/>
        <w:ind w:firstLine="640" w:firstLineChars="200"/>
        <w:rPr>
          <w:rFonts w:eastAsia="仿宋_GB2312"/>
          <w:sz w:val="32"/>
          <w:szCs w:val="32"/>
        </w:rPr>
      </w:pPr>
      <w:r>
        <w:rPr>
          <w:rFonts w:eastAsia="仿宋_GB2312"/>
          <w:sz w:val="32"/>
          <w:szCs w:val="32"/>
        </w:rPr>
        <w:t>（1）建（构）筑物抗震设防，根据有关要求提出建（构）筑物抗震设防措施；</w:t>
      </w:r>
    </w:p>
    <w:p>
      <w:pPr>
        <w:widowControl/>
        <w:spacing w:line="560" w:lineRule="exact"/>
        <w:ind w:firstLine="640" w:firstLineChars="200"/>
        <w:rPr>
          <w:rFonts w:eastAsia="仿宋_GB2312"/>
          <w:sz w:val="32"/>
          <w:szCs w:val="32"/>
        </w:rPr>
      </w:pPr>
      <w:r>
        <w:rPr>
          <w:rFonts w:eastAsia="仿宋_GB2312"/>
          <w:sz w:val="32"/>
          <w:szCs w:val="32"/>
        </w:rPr>
        <w:t>（2）建（构）筑物的火灾危险性类别划分；建（构）筑物的耐火等级、防火分区，防火墙、防火门、泄压面积，按照标准进行防火防爆设计；</w:t>
      </w:r>
    </w:p>
    <w:p>
      <w:pPr>
        <w:widowControl/>
        <w:spacing w:line="560" w:lineRule="exact"/>
        <w:ind w:firstLine="640" w:firstLineChars="200"/>
        <w:rPr>
          <w:rFonts w:eastAsia="仿宋_GB2312"/>
          <w:sz w:val="32"/>
          <w:szCs w:val="32"/>
        </w:rPr>
      </w:pPr>
      <w:r>
        <w:rPr>
          <w:rFonts w:eastAsia="仿宋_GB2312"/>
          <w:sz w:val="32"/>
          <w:szCs w:val="32"/>
        </w:rPr>
        <w:t>（3）厂房结构设计采取的承受重荷载、高温辐射、熔融金属喷溅冲刷、振动与冲击、防渗、防酸碱腐蚀等措施；</w:t>
      </w:r>
    </w:p>
    <w:p>
      <w:pPr>
        <w:widowControl/>
        <w:spacing w:line="560" w:lineRule="exact"/>
        <w:ind w:firstLine="640" w:firstLineChars="200"/>
        <w:rPr>
          <w:rFonts w:eastAsia="仿宋_GB2312"/>
          <w:sz w:val="32"/>
          <w:szCs w:val="32"/>
        </w:rPr>
      </w:pPr>
      <w:r>
        <w:rPr>
          <w:rFonts w:eastAsia="仿宋_GB2312"/>
          <w:sz w:val="32"/>
          <w:szCs w:val="32"/>
        </w:rPr>
        <w:t>（4）建（构）筑物通风、散热、采光等措施。</w:t>
      </w:r>
    </w:p>
    <w:p>
      <w:pPr>
        <w:spacing w:line="560" w:lineRule="exact"/>
        <w:outlineLvl w:val="2"/>
        <w:rPr>
          <w:rFonts w:eastAsia="黑体"/>
          <w:bCs/>
          <w:sz w:val="32"/>
          <w:szCs w:val="32"/>
        </w:rPr>
      </w:pPr>
      <w:bookmarkStart w:id="145" w:name="_Toc498299360"/>
      <w:bookmarkStart w:id="146" w:name="_Toc498519830"/>
      <w:bookmarkStart w:id="147" w:name="_Toc500007168"/>
      <w:r>
        <w:rPr>
          <w:rFonts w:eastAsia="黑体"/>
          <w:bCs/>
          <w:sz w:val="32"/>
          <w:szCs w:val="32"/>
        </w:rPr>
        <w:t>5.3.2工艺布置与运输</w:t>
      </w:r>
      <w:bookmarkEnd w:id="145"/>
      <w:bookmarkEnd w:id="146"/>
      <w:bookmarkEnd w:id="147"/>
    </w:p>
    <w:p>
      <w:pPr>
        <w:widowControl/>
        <w:spacing w:line="560" w:lineRule="exact"/>
        <w:ind w:firstLine="640" w:firstLineChars="200"/>
        <w:rPr>
          <w:rFonts w:eastAsia="仿宋_GB2312"/>
          <w:sz w:val="32"/>
          <w:szCs w:val="32"/>
        </w:rPr>
      </w:pPr>
      <w:r>
        <w:rPr>
          <w:rFonts w:eastAsia="仿宋_GB2312"/>
          <w:sz w:val="32"/>
          <w:szCs w:val="32"/>
        </w:rPr>
        <w:t>对</w:t>
      </w:r>
      <w:r>
        <w:rPr>
          <w:rFonts w:hint="eastAsia" w:eastAsia="仿宋_GB2312"/>
          <w:sz w:val="32"/>
          <w:szCs w:val="32"/>
        </w:rPr>
        <w:t>金属冶炼</w:t>
      </w:r>
      <w:r>
        <w:rPr>
          <w:rFonts w:eastAsia="仿宋_GB2312"/>
          <w:sz w:val="32"/>
          <w:szCs w:val="32"/>
        </w:rPr>
        <w:t>建设项目工艺布置与运输进行符合性评价：</w:t>
      </w:r>
    </w:p>
    <w:p>
      <w:pPr>
        <w:widowControl/>
        <w:spacing w:line="560" w:lineRule="exact"/>
        <w:ind w:firstLine="640" w:firstLineChars="200"/>
        <w:rPr>
          <w:rFonts w:eastAsia="仿宋_GB2312"/>
          <w:sz w:val="32"/>
          <w:szCs w:val="32"/>
        </w:rPr>
      </w:pPr>
      <w:r>
        <w:rPr>
          <w:rFonts w:eastAsia="仿宋_GB2312"/>
          <w:sz w:val="32"/>
          <w:szCs w:val="32"/>
        </w:rPr>
        <w:t>（1）人流、物流安全的功能分区，生产工艺布置、车间布置及操作室的布置，厂区、厂房安全出口、消防通道、安全通道及疏散指示标志等；</w:t>
      </w:r>
    </w:p>
    <w:p>
      <w:pPr>
        <w:widowControl/>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）高温熔融金属吊运路线及人员密集场所布置情况；</w:t>
      </w:r>
    </w:p>
    <w:p>
      <w:pPr>
        <w:widowControl/>
        <w:spacing w:line="560" w:lineRule="exact"/>
        <w:ind w:firstLine="640" w:firstLineChars="200"/>
        <w:rPr>
          <w:rFonts w:eastAsia="仿宋_GB2312"/>
          <w:sz w:val="32"/>
          <w:szCs w:val="32"/>
        </w:rPr>
      </w:pPr>
      <w:r>
        <w:rPr>
          <w:rFonts w:eastAsia="仿宋_GB2312"/>
          <w:sz w:val="32"/>
          <w:szCs w:val="32"/>
        </w:rPr>
        <w:t>（3）铁路、道路、管网与建（构）筑物等之间的安全距离；运输、装卸、道路设计等安全措施；</w:t>
      </w:r>
    </w:p>
    <w:p>
      <w:pPr>
        <w:widowControl/>
        <w:spacing w:line="560" w:lineRule="exact"/>
        <w:ind w:firstLine="640" w:firstLineChars="200"/>
        <w:rPr>
          <w:rFonts w:eastAsia="仿宋_GB2312"/>
          <w:sz w:val="32"/>
          <w:szCs w:val="32"/>
        </w:rPr>
      </w:pPr>
      <w:r>
        <w:rPr>
          <w:rFonts w:eastAsia="仿宋_GB2312"/>
          <w:sz w:val="32"/>
          <w:szCs w:val="32"/>
        </w:rPr>
        <w:t>（4）动力设施（如变</w:t>
      </w:r>
      <w:r>
        <w:rPr>
          <w:rFonts w:hint="eastAsia" w:eastAsia="仿宋_GB2312"/>
          <w:sz w:val="32"/>
          <w:szCs w:val="32"/>
        </w:rPr>
        <w:t>电所、</w:t>
      </w:r>
      <w:r>
        <w:rPr>
          <w:rFonts w:eastAsia="仿宋_GB2312"/>
          <w:sz w:val="32"/>
          <w:szCs w:val="32"/>
        </w:rPr>
        <w:t>配</w:t>
      </w:r>
      <w:r>
        <w:rPr>
          <w:rFonts w:hint="eastAsia" w:eastAsia="仿宋_GB2312"/>
          <w:sz w:val="32"/>
          <w:szCs w:val="32"/>
        </w:rPr>
        <w:t>电室、</w:t>
      </w:r>
      <w:r>
        <w:rPr>
          <w:rFonts w:eastAsia="仿宋_GB2312"/>
          <w:sz w:val="32"/>
          <w:szCs w:val="32"/>
        </w:rPr>
        <w:t>锅炉房、压缩空气站等）的分布及防范措施</w:t>
      </w:r>
      <w:r>
        <w:rPr>
          <w:rFonts w:hint="eastAsia" w:eastAsia="仿宋_GB2312"/>
          <w:sz w:val="32"/>
          <w:szCs w:val="32"/>
        </w:rPr>
        <w:t>。</w:t>
      </w:r>
    </w:p>
    <w:p>
      <w:pPr>
        <w:spacing w:line="560" w:lineRule="exact"/>
        <w:outlineLvl w:val="1"/>
        <w:rPr>
          <w:rFonts w:eastAsia="黑体"/>
          <w:color w:val="000000"/>
          <w:sz w:val="32"/>
          <w:szCs w:val="32"/>
        </w:rPr>
      </w:pPr>
      <w:bookmarkStart w:id="148" w:name="_Toc500007169"/>
      <w:bookmarkStart w:id="149" w:name="_Toc498299361"/>
      <w:bookmarkStart w:id="150" w:name="_Toc498519831"/>
      <w:r>
        <w:rPr>
          <w:rFonts w:eastAsia="黑体"/>
          <w:color w:val="000000"/>
          <w:sz w:val="32"/>
          <w:szCs w:val="32"/>
        </w:rPr>
        <w:t>5.4物料、产品安全性</w:t>
      </w:r>
      <w:bookmarkEnd w:id="148"/>
      <w:bookmarkEnd w:id="149"/>
      <w:bookmarkEnd w:id="150"/>
    </w:p>
    <w:p>
      <w:pPr>
        <w:spacing w:line="560" w:lineRule="exact"/>
        <w:ind w:firstLine="640" w:firstLineChars="200"/>
        <w:rPr>
          <w:rFonts w:eastAsia="仿宋_GB2312"/>
          <w:kern w:val="0"/>
          <w:sz w:val="32"/>
          <w:szCs w:val="32"/>
        </w:rPr>
      </w:pPr>
      <w:r>
        <w:rPr>
          <w:rFonts w:eastAsia="仿宋_GB2312"/>
          <w:kern w:val="0"/>
          <w:sz w:val="32"/>
          <w:szCs w:val="32"/>
        </w:rPr>
        <w:t>高温熔融金属</w:t>
      </w:r>
      <w:r>
        <w:rPr>
          <w:rFonts w:hint="eastAsia" w:eastAsia="仿宋_GB2312"/>
          <w:kern w:val="0"/>
          <w:sz w:val="32"/>
          <w:szCs w:val="32"/>
        </w:rPr>
        <w:t>（渣）</w:t>
      </w:r>
      <w:r>
        <w:rPr>
          <w:rFonts w:eastAsia="仿宋_GB2312"/>
          <w:kern w:val="0"/>
          <w:sz w:val="32"/>
          <w:szCs w:val="32"/>
        </w:rPr>
        <w:t>、易燃易爆、有毒有害、腐蚀性、放射性等危险物料在生产、输送、贮存、使用、废弃等环节喷溅、泄漏、监测预警、安全警戒和标识要求等防范措施是否符合设计要求进行符合性评价。</w:t>
      </w:r>
    </w:p>
    <w:p>
      <w:pPr>
        <w:spacing w:line="560" w:lineRule="exact"/>
        <w:outlineLvl w:val="1"/>
        <w:rPr>
          <w:rFonts w:eastAsia="黑体"/>
          <w:color w:val="000000"/>
          <w:sz w:val="32"/>
          <w:szCs w:val="32"/>
        </w:rPr>
      </w:pPr>
      <w:bookmarkStart w:id="151" w:name="_Toc500007170"/>
      <w:bookmarkStart w:id="152" w:name="_Toc498299362"/>
      <w:bookmarkStart w:id="153" w:name="_Toc498519832"/>
      <w:r>
        <w:rPr>
          <w:rFonts w:eastAsia="黑体"/>
          <w:color w:val="000000"/>
          <w:sz w:val="32"/>
          <w:szCs w:val="32"/>
        </w:rPr>
        <w:t>5.5生产工艺系统、装置、设施、设备单元</w:t>
      </w:r>
      <w:bookmarkEnd w:id="151"/>
      <w:bookmarkEnd w:id="152"/>
      <w:bookmarkEnd w:id="153"/>
    </w:p>
    <w:p>
      <w:pPr>
        <w:spacing w:line="560" w:lineRule="exact"/>
        <w:ind w:firstLine="640" w:firstLineChars="200"/>
        <w:rPr>
          <w:sz w:val="32"/>
          <w:szCs w:val="32"/>
        </w:rPr>
      </w:pPr>
      <w:r>
        <w:rPr>
          <w:rFonts w:eastAsia="仿宋_GB2312"/>
          <w:kern w:val="0"/>
          <w:sz w:val="32"/>
          <w:szCs w:val="32"/>
        </w:rPr>
        <w:t>针对各生产单元的生产工艺及设备设施存在的各类危险、有害因素及危害程度</w:t>
      </w:r>
      <w:r>
        <w:rPr>
          <w:rFonts w:hint="eastAsia" w:eastAsia="仿宋_GB2312"/>
          <w:kern w:val="0"/>
          <w:sz w:val="32"/>
          <w:szCs w:val="32"/>
        </w:rPr>
        <w:t>。</w:t>
      </w:r>
      <w:r>
        <w:rPr>
          <w:rFonts w:eastAsia="仿宋_GB2312"/>
          <w:kern w:val="0"/>
          <w:sz w:val="32"/>
          <w:szCs w:val="32"/>
        </w:rPr>
        <w:t>所采用工艺、设备选型、设备布置的安全措施；重要设备（部位）的温度、压力等关键参数的检测、报警、联锁等保护措施，异常工况及事故状态下的应急处置措施；起重设备、压力容器和压力管道等特种设备设计安全措施；工艺和装置中安全设施的配备等。对以上防范措施是否符合设计要求进行符合性评价。</w:t>
      </w:r>
    </w:p>
    <w:p>
      <w:pPr>
        <w:spacing w:line="560" w:lineRule="exact"/>
        <w:outlineLvl w:val="1"/>
        <w:rPr>
          <w:rFonts w:eastAsia="黑体"/>
          <w:color w:val="000000"/>
          <w:sz w:val="32"/>
          <w:szCs w:val="32"/>
        </w:rPr>
      </w:pPr>
      <w:bookmarkStart w:id="154" w:name="_Toc500007171"/>
      <w:bookmarkStart w:id="155" w:name="_Toc498299363"/>
      <w:bookmarkStart w:id="156" w:name="_Toc498519833"/>
      <w:r>
        <w:rPr>
          <w:rFonts w:eastAsia="黑体"/>
          <w:color w:val="000000"/>
          <w:sz w:val="32"/>
          <w:szCs w:val="32"/>
        </w:rPr>
        <w:t>5.6公用工程及辅助设施单元</w:t>
      </w:r>
      <w:bookmarkEnd w:id="154"/>
      <w:bookmarkEnd w:id="155"/>
      <w:bookmarkEnd w:id="156"/>
    </w:p>
    <w:p>
      <w:pPr>
        <w:spacing w:line="560" w:lineRule="exact"/>
        <w:ind w:firstLine="640" w:firstLineChars="200"/>
        <w:rPr>
          <w:rFonts w:eastAsia="仿宋_GB2312"/>
          <w:sz w:val="32"/>
          <w:szCs w:val="32"/>
        </w:rPr>
      </w:pPr>
      <w:bookmarkStart w:id="157" w:name="_Toc498299364"/>
      <w:r>
        <w:rPr>
          <w:rFonts w:hint="eastAsia" w:eastAsia="仿宋_GB2312"/>
          <w:sz w:val="32"/>
          <w:szCs w:val="32"/>
        </w:rPr>
        <w:t>可以</w:t>
      </w:r>
      <w:r>
        <w:rPr>
          <w:rFonts w:eastAsia="仿宋_GB2312"/>
          <w:sz w:val="32"/>
          <w:szCs w:val="32"/>
        </w:rPr>
        <w:t>但不限于</w:t>
      </w:r>
      <w:r>
        <w:rPr>
          <w:rFonts w:hint="eastAsia" w:eastAsia="仿宋_GB2312"/>
          <w:sz w:val="32"/>
          <w:szCs w:val="32"/>
        </w:rPr>
        <w:t>从以下</w:t>
      </w:r>
      <w:r>
        <w:rPr>
          <w:rFonts w:eastAsia="仿宋_GB2312"/>
          <w:sz w:val="32"/>
          <w:szCs w:val="32"/>
        </w:rPr>
        <w:t>方面展开。</w:t>
      </w:r>
    </w:p>
    <w:p>
      <w:pPr>
        <w:spacing w:line="560" w:lineRule="exact"/>
        <w:outlineLvl w:val="2"/>
        <w:rPr>
          <w:rFonts w:eastAsia="黑体"/>
          <w:bCs/>
          <w:sz w:val="32"/>
          <w:szCs w:val="32"/>
        </w:rPr>
      </w:pPr>
      <w:bookmarkStart w:id="158" w:name="_Toc500007172"/>
      <w:bookmarkStart w:id="159" w:name="_Toc498519834"/>
      <w:r>
        <w:rPr>
          <w:rFonts w:eastAsia="黑体"/>
          <w:bCs/>
          <w:sz w:val="32"/>
          <w:szCs w:val="32"/>
        </w:rPr>
        <w:t>5.6.1电气安全</w:t>
      </w:r>
      <w:bookmarkEnd w:id="157"/>
      <w:bookmarkEnd w:id="158"/>
      <w:bookmarkEnd w:id="159"/>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变电所、配电室等电力负荷分级，电源及供电系统的安全措施；电气设备的接地、防漏电、防过流、防雷、防静电、防过压等的安全保护措施；UPS系统、继电保护系统；电气设备防火、工作照明及事故应急照明等措施等进行符合性评价。</w:t>
      </w:r>
    </w:p>
    <w:p>
      <w:pPr>
        <w:spacing w:line="560" w:lineRule="exact"/>
        <w:outlineLvl w:val="2"/>
        <w:rPr>
          <w:rFonts w:eastAsia="黑体"/>
          <w:bCs/>
          <w:sz w:val="32"/>
          <w:szCs w:val="32"/>
        </w:rPr>
      </w:pPr>
      <w:bookmarkStart w:id="160" w:name="_Toc498519835"/>
      <w:bookmarkStart w:id="161" w:name="_Toc498299365"/>
      <w:bookmarkStart w:id="162" w:name="_Toc500007173"/>
      <w:r>
        <w:rPr>
          <w:rFonts w:eastAsia="黑体"/>
          <w:bCs/>
          <w:sz w:val="32"/>
          <w:szCs w:val="32"/>
        </w:rPr>
        <w:t>5.6.2机械安全</w:t>
      </w:r>
      <w:bookmarkEnd w:id="160"/>
      <w:bookmarkEnd w:id="161"/>
      <w:bookmarkEnd w:id="162"/>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w:t>
      </w:r>
      <w:r>
        <w:rPr>
          <w:rFonts w:hint="eastAsia" w:eastAsia="仿宋_GB2312"/>
          <w:kern w:val="0"/>
          <w:sz w:val="32"/>
          <w:szCs w:val="32"/>
        </w:rPr>
        <w:t>主要</w:t>
      </w:r>
      <w:r>
        <w:rPr>
          <w:rFonts w:eastAsia="仿宋_GB2312"/>
          <w:kern w:val="0"/>
          <w:sz w:val="32"/>
          <w:szCs w:val="32"/>
        </w:rPr>
        <w:t>机械安全防护装置进行符合性评价。</w:t>
      </w:r>
    </w:p>
    <w:p>
      <w:pPr>
        <w:spacing w:line="560" w:lineRule="exact"/>
        <w:outlineLvl w:val="2"/>
        <w:rPr>
          <w:rFonts w:eastAsia="黑体"/>
          <w:bCs/>
          <w:sz w:val="32"/>
          <w:szCs w:val="32"/>
        </w:rPr>
      </w:pPr>
      <w:bookmarkStart w:id="163" w:name="_Toc500007174"/>
      <w:bookmarkStart w:id="164" w:name="_Toc498299367"/>
      <w:bookmarkStart w:id="165" w:name="_Toc498519836"/>
      <w:r>
        <w:rPr>
          <w:rFonts w:eastAsia="黑体"/>
          <w:bCs/>
          <w:sz w:val="32"/>
          <w:szCs w:val="32"/>
        </w:rPr>
        <w:t>5.6.3自动控制及通信设施安全措施</w:t>
      </w:r>
      <w:bookmarkEnd w:id="163"/>
      <w:bookmarkEnd w:id="164"/>
      <w:bookmarkEnd w:id="165"/>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建设项目计算机自动化控制系统（包括紧急停车系统、安全仪表系统，可燃和有毒气体检测和报警设施等）的设置，操作控制室的设置；通信系统的设置等进行符合性评价。</w:t>
      </w:r>
    </w:p>
    <w:p>
      <w:pPr>
        <w:spacing w:line="560" w:lineRule="exact"/>
        <w:outlineLvl w:val="2"/>
        <w:rPr>
          <w:rFonts w:eastAsia="黑体"/>
          <w:bCs/>
          <w:sz w:val="32"/>
          <w:szCs w:val="32"/>
        </w:rPr>
      </w:pPr>
      <w:bookmarkStart w:id="166" w:name="_Toc500007175"/>
      <w:bookmarkStart w:id="167" w:name="_Toc498299366"/>
      <w:bookmarkStart w:id="168" w:name="_Toc498519837"/>
      <w:r>
        <w:rPr>
          <w:rFonts w:eastAsia="黑体"/>
          <w:bCs/>
          <w:sz w:val="32"/>
          <w:szCs w:val="32"/>
        </w:rPr>
        <w:t>5.6.4能源介质及动力安全措施</w:t>
      </w:r>
      <w:bookmarkEnd w:id="166"/>
      <w:bookmarkEnd w:id="167"/>
      <w:bookmarkEnd w:id="168"/>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建设项目能源介质的制备与输送系统、使用设施</w:t>
      </w:r>
      <w:r>
        <w:rPr>
          <w:rFonts w:hint="eastAsia" w:eastAsia="仿宋_GB2312"/>
          <w:kern w:val="0"/>
          <w:sz w:val="32"/>
          <w:szCs w:val="32"/>
        </w:rPr>
        <w:t>的</w:t>
      </w:r>
      <w:r>
        <w:rPr>
          <w:rFonts w:eastAsia="仿宋_GB2312"/>
          <w:kern w:val="0"/>
          <w:sz w:val="32"/>
          <w:szCs w:val="32"/>
        </w:rPr>
        <w:t>监测</w:t>
      </w:r>
      <w:r>
        <w:rPr>
          <w:rFonts w:hint="eastAsia" w:eastAsia="仿宋_GB2312"/>
          <w:kern w:val="0"/>
          <w:sz w:val="32"/>
          <w:szCs w:val="32"/>
        </w:rPr>
        <w:t>、防护、</w:t>
      </w:r>
      <w:r>
        <w:rPr>
          <w:rFonts w:eastAsia="仿宋_GB2312"/>
          <w:kern w:val="0"/>
          <w:sz w:val="32"/>
          <w:szCs w:val="32"/>
        </w:rPr>
        <w:t>控制措施等进行符合性评价。</w:t>
      </w:r>
    </w:p>
    <w:p>
      <w:pPr>
        <w:spacing w:line="560" w:lineRule="exact"/>
        <w:outlineLvl w:val="2"/>
        <w:rPr>
          <w:rFonts w:eastAsia="黑体"/>
          <w:bCs/>
          <w:sz w:val="32"/>
          <w:szCs w:val="32"/>
        </w:rPr>
      </w:pPr>
      <w:bookmarkStart w:id="169" w:name="_Toc498519838"/>
      <w:bookmarkStart w:id="170" w:name="_Toc498299369"/>
      <w:bookmarkStart w:id="171" w:name="_Toc500007176"/>
      <w:r>
        <w:rPr>
          <w:rFonts w:eastAsia="黑体"/>
          <w:bCs/>
          <w:sz w:val="32"/>
          <w:szCs w:val="32"/>
        </w:rPr>
        <w:t>5.6.5</w:t>
      </w:r>
      <w:r>
        <w:rPr>
          <w:rFonts w:hint="eastAsia" w:eastAsia="黑体"/>
          <w:bCs/>
          <w:sz w:val="32"/>
          <w:szCs w:val="32"/>
        </w:rPr>
        <w:t>辅助</w:t>
      </w:r>
      <w:r>
        <w:rPr>
          <w:rFonts w:eastAsia="黑体"/>
          <w:bCs/>
          <w:sz w:val="32"/>
          <w:szCs w:val="32"/>
        </w:rPr>
        <w:t>供水与排水措施</w:t>
      </w:r>
      <w:bookmarkEnd w:id="169"/>
      <w:bookmarkEnd w:id="170"/>
      <w:bookmarkEnd w:id="171"/>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w:t>
      </w:r>
      <w:r>
        <w:rPr>
          <w:rFonts w:hint="eastAsia" w:eastAsia="仿宋_GB2312"/>
          <w:kern w:val="0"/>
          <w:sz w:val="32"/>
          <w:szCs w:val="32"/>
        </w:rPr>
        <w:t>辅助</w:t>
      </w:r>
      <w:r>
        <w:rPr>
          <w:rFonts w:eastAsia="仿宋_GB2312"/>
          <w:kern w:val="0"/>
          <w:sz w:val="32"/>
          <w:szCs w:val="32"/>
        </w:rPr>
        <w:t>供、排水系统安全措施；污水处理、雨水及地表水排水措施等进行符合性评价。</w:t>
      </w:r>
    </w:p>
    <w:p>
      <w:pPr>
        <w:spacing w:line="560" w:lineRule="exact"/>
        <w:outlineLvl w:val="2"/>
        <w:rPr>
          <w:rFonts w:eastAsia="黑体"/>
          <w:bCs/>
          <w:sz w:val="32"/>
          <w:szCs w:val="32"/>
        </w:rPr>
      </w:pPr>
      <w:bookmarkStart w:id="172" w:name="_Toc498299368"/>
      <w:bookmarkStart w:id="173" w:name="_Toc498519839"/>
      <w:bookmarkStart w:id="174" w:name="_Toc500007177"/>
      <w:r>
        <w:rPr>
          <w:rFonts w:eastAsia="黑体"/>
          <w:bCs/>
          <w:sz w:val="32"/>
          <w:szCs w:val="32"/>
        </w:rPr>
        <w:t>5.6.6消防措施</w:t>
      </w:r>
      <w:bookmarkEnd w:id="172"/>
      <w:bookmarkEnd w:id="173"/>
      <w:bookmarkEnd w:id="174"/>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建设项目厂区消防系统、消防给水和固定灭火装置、火灾自动报警及联动控制、防烟及排烟设计、疏散楼梯、疏散通道等措施；厂内易燃区域、设备易燃部位等的防灭火措施等进行符合性评价。</w:t>
      </w:r>
    </w:p>
    <w:p>
      <w:pPr>
        <w:spacing w:line="560" w:lineRule="exact"/>
        <w:outlineLvl w:val="2"/>
        <w:rPr>
          <w:rFonts w:eastAsia="黑体"/>
          <w:bCs/>
          <w:sz w:val="32"/>
          <w:szCs w:val="32"/>
        </w:rPr>
      </w:pPr>
      <w:bookmarkStart w:id="175" w:name="_Toc498299370"/>
      <w:bookmarkStart w:id="176" w:name="_Toc498519840"/>
      <w:bookmarkStart w:id="177" w:name="_Toc500007178"/>
      <w:r>
        <w:rPr>
          <w:rFonts w:eastAsia="黑体"/>
          <w:bCs/>
          <w:sz w:val="32"/>
          <w:szCs w:val="32"/>
        </w:rPr>
        <w:t>5.6.7采暖通风及空气调节措施</w:t>
      </w:r>
      <w:bookmarkEnd w:id="175"/>
      <w:bookmarkEnd w:id="176"/>
      <w:bookmarkEnd w:id="177"/>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建设项目作业场所温度要求，控制室、休息室、作业场所采暖通风及空气调节措施等进行符合性评价。</w:t>
      </w:r>
    </w:p>
    <w:p>
      <w:pPr>
        <w:spacing w:line="560" w:lineRule="exact"/>
        <w:outlineLvl w:val="1"/>
        <w:rPr>
          <w:rFonts w:eastAsia="黑体"/>
          <w:color w:val="000000"/>
          <w:sz w:val="32"/>
          <w:szCs w:val="32"/>
        </w:rPr>
      </w:pPr>
      <w:bookmarkStart w:id="178" w:name="_Toc498299371"/>
      <w:bookmarkStart w:id="179" w:name="_Toc498519841"/>
      <w:bookmarkStart w:id="180" w:name="_Toc500007179"/>
      <w:r>
        <w:rPr>
          <w:rFonts w:eastAsia="黑体"/>
          <w:color w:val="000000"/>
          <w:sz w:val="32"/>
          <w:szCs w:val="32"/>
        </w:rPr>
        <w:t>5.7易燃易爆</w:t>
      </w:r>
      <w:r>
        <w:rPr>
          <w:rFonts w:hint="eastAsia" w:eastAsia="黑体"/>
          <w:color w:val="000000"/>
          <w:sz w:val="32"/>
          <w:szCs w:val="32"/>
        </w:rPr>
        <w:t>有毒</w:t>
      </w:r>
      <w:r>
        <w:rPr>
          <w:rFonts w:eastAsia="黑体"/>
          <w:color w:val="000000"/>
          <w:sz w:val="32"/>
          <w:szCs w:val="32"/>
        </w:rPr>
        <w:t>场所单元</w:t>
      </w:r>
      <w:bookmarkEnd w:id="178"/>
      <w:bookmarkEnd w:id="179"/>
      <w:bookmarkEnd w:id="180"/>
    </w:p>
    <w:p>
      <w:pPr>
        <w:spacing w:line="560" w:lineRule="exact"/>
        <w:ind w:firstLine="640" w:firstLineChars="200"/>
        <w:rPr>
          <w:rFonts w:eastAsia="仿宋_GB2312"/>
          <w:kern w:val="0"/>
          <w:sz w:val="32"/>
          <w:szCs w:val="32"/>
        </w:rPr>
      </w:pPr>
      <w:r>
        <w:rPr>
          <w:rFonts w:eastAsia="仿宋_GB2312"/>
          <w:kern w:val="0"/>
          <w:sz w:val="32"/>
          <w:szCs w:val="32"/>
        </w:rPr>
        <w:t>对爆炸和火灾危险区域进行划分，对本项目所有建、构建物的耐火等级</w:t>
      </w:r>
      <w:r>
        <w:rPr>
          <w:rFonts w:hint="eastAsia" w:eastAsia="仿宋_GB2312"/>
          <w:kern w:val="0"/>
          <w:sz w:val="32"/>
          <w:szCs w:val="32"/>
          <w:lang w:eastAsia="zh-CN"/>
        </w:rPr>
        <w:t>，</w:t>
      </w:r>
      <w:r>
        <w:rPr>
          <w:rFonts w:eastAsia="仿宋_GB2312"/>
          <w:kern w:val="0"/>
          <w:sz w:val="32"/>
          <w:szCs w:val="32"/>
        </w:rPr>
        <w:t>可燃</w:t>
      </w:r>
      <w:r>
        <w:rPr>
          <w:rFonts w:hint="eastAsia" w:eastAsia="仿宋_GB2312"/>
          <w:kern w:val="0"/>
          <w:sz w:val="32"/>
          <w:szCs w:val="32"/>
        </w:rPr>
        <w:t>有毒</w:t>
      </w:r>
      <w:r>
        <w:rPr>
          <w:rFonts w:eastAsia="仿宋_GB2312"/>
          <w:kern w:val="0"/>
          <w:sz w:val="32"/>
          <w:szCs w:val="32"/>
        </w:rPr>
        <w:t>气体泄漏</w:t>
      </w:r>
      <w:r>
        <w:rPr>
          <w:rFonts w:hint="eastAsia" w:eastAsia="仿宋_GB2312"/>
          <w:kern w:val="0"/>
          <w:sz w:val="32"/>
          <w:szCs w:val="32"/>
        </w:rPr>
        <w:t>监测</w:t>
      </w:r>
      <w:r>
        <w:rPr>
          <w:rFonts w:eastAsia="仿宋_GB2312"/>
          <w:kern w:val="0"/>
          <w:sz w:val="32"/>
          <w:szCs w:val="32"/>
        </w:rPr>
        <w:t>报警仪的</w:t>
      </w:r>
      <w:r>
        <w:rPr>
          <w:rFonts w:hint="eastAsia" w:eastAsia="仿宋_GB2312"/>
          <w:kern w:val="0"/>
          <w:sz w:val="32"/>
          <w:szCs w:val="32"/>
        </w:rPr>
        <w:t>设置、安装</w:t>
      </w:r>
      <w:r>
        <w:rPr>
          <w:rFonts w:hint="eastAsia" w:eastAsia="仿宋_GB2312"/>
          <w:kern w:val="0"/>
          <w:sz w:val="32"/>
          <w:szCs w:val="32"/>
          <w:lang w:eastAsia="zh-CN"/>
        </w:rPr>
        <w:t>，</w:t>
      </w:r>
      <w:r>
        <w:rPr>
          <w:rFonts w:eastAsia="仿宋_GB2312"/>
          <w:kern w:val="0"/>
          <w:sz w:val="32"/>
          <w:szCs w:val="32"/>
        </w:rPr>
        <w:t>防爆电气的安装</w:t>
      </w:r>
      <w:r>
        <w:rPr>
          <w:rFonts w:hint="eastAsia" w:eastAsia="仿宋_GB2312"/>
          <w:kern w:val="0"/>
          <w:sz w:val="32"/>
          <w:szCs w:val="32"/>
          <w:lang w:eastAsia="zh-CN"/>
        </w:rPr>
        <w:t>，</w:t>
      </w:r>
      <w:r>
        <w:rPr>
          <w:rFonts w:eastAsia="仿宋_GB2312"/>
          <w:kern w:val="0"/>
          <w:sz w:val="32"/>
          <w:szCs w:val="32"/>
        </w:rPr>
        <w:t>消防设备及设施</w:t>
      </w:r>
      <w:r>
        <w:rPr>
          <w:rFonts w:hint="eastAsia" w:eastAsia="仿宋_GB2312"/>
          <w:kern w:val="0"/>
          <w:sz w:val="32"/>
          <w:szCs w:val="32"/>
        </w:rPr>
        <w:t>设置、安装</w:t>
      </w:r>
      <w:r>
        <w:rPr>
          <w:rFonts w:eastAsia="仿宋_GB2312"/>
          <w:kern w:val="0"/>
          <w:sz w:val="32"/>
          <w:szCs w:val="32"/>
        </w:rPr>
        <w:t>，消防设施验收等进行评价。</w:t>
      </w:r>
    </w:p>
    <w:p>
      <w:pPr>
        <w:spacing w:line="560" w:lineRule="exact"/>
        <w:outlineLvl w:val="1"/>
        <w:rPr>
          <w:rFonts w:eastAsia="黑体"/>
          <w:color w:val="000000"/>
          <w:sz w:val="32"/>
          <w:szCs w:val="32"/>
        </w:rPr>
      </w:pPr>
      <w:bookmarkStart w:id="181" w:name="_Toc498299372"/>
      <w:bookmarkStart w:id="182" w:name="_Toc498519842"/>
      <w:bookmarkStart w:id="183" w:name="_Toc500007180"/>
      <w:r>
        <w:rPr>
          <w:rFonts w:eastAsia="黑体"/>
          <w:color w:val="000000"/>
          <w:sz w:val="32"/>
          <w:szCs w:val="32"/>
        </w:rPr>
        <w:t>5.8特种设备</w:t>
      </w:r>
      <w:r>
        <w:rPr>
          <w:rFonts w:hint="eastAsia" w:eastAsia="黑体"/>
          <w:color w:val="000000"/>
          <w:sz w:val="32"/>
          <w:szCs w:val="32"/>
        </w:rPr>
        <w:t>设施</w:t>
      </w:r>
      <w:r>
        <w:rPr>
          <w:rFonts w:eastAsia="黑体"/>
          <w:color w:val="000000"/>
          <w:sz w:val="32"/>
          <w:szCs w:val="32"/>
        </w:rPr>
        <w:t>及强制检测设备设施单元</w:t>
      </w:r>
      <w:bookmarkEnd w:id="181"/>
      <w:bookmarkEnd w:id="182"/>
      <w:bookmarkEnd w:id="183"/>
    </w:p>
    <w:p>
      <w:pPr>
        <w:spacing w:line="560" w:lineRule="exact"/>
        <w:outlineLvl w:val="2"/>
        <w:rPr>
          <w:rFonts w:eastAsia="黑体"/>
          <w:bCs/>
          <w:sz w:val="32"/>
          <w:szCs w:val="32"/>
        </w:rPr>
      </w:pPr>
      <w:bookmarkStart w:id="184" w:name="_Toc500007181"/>
      <w:bookmarkStart w:id="185" w:name="_Toc498299373"/>
      <w:bookmarkStart w:id="186" w:name="_Toc498519843"/>
      <w:r>
        <w:rPr>
          <w:rFonts w:eastAsia="黑体"/>
          <w:bCs/>
          <w:sz w:val="32"/>
          <w:szCs w:val="32"/>
        </w:rPr>
        <w:t>5.8.1特种设备</w:t>
      </w:r>
      <w:r>
        <w:rPr>
          <w:rFonts w:hint="eastAsia" w:eastAsia="黑体"/>
          <w:bCs/>
          <w:sz w:val="32"/>
          <w:szCs w:val="32"/>
        </w:rPr>
        <w:t>设施</w:t>
      </w:r>
      <w:r>
        <w:rPr>
          <w:rFonts w:eastAsia="黑体"/>
          <w:bCs/>
          <w:sz w:val="32"/>
          <w:szCs w:val="32"/>
        </w:rPr>
        <w:t>概况</w:t>
      </w:r>
      <w:bookmarkEnd w:id="184"/>
      <w:bookmarkEnd w:id="185"/>
      <w:bookmarkEnd w:id="186"/>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sz w:val="32"/>
          <w:szCs w:val="32"/>
        </w:rPr>
        <w:t>金属冶炼</w:t>
      </w:r>
      <w:r>
        <w:rPr>
          <w:rFonts w:eastAsia="仿宋_GB2312"/>
          <w:kern w:val="0"/>
          <w:sz w:val="32"/>
          <w:szCs w:val="32"/>
        </w:rPr>
        <w:t>建设项目的特种设备</w:t>
      </w:r>
      <w:r>
        <w:rPr>
          <w:rFonts w:hint="eastAsia" w:eastAsia="仿宋_GB2312"/>
          <w:kern w:val="0"/>
          <w:sz w:val="32"/>
          <w:szCs w:val="32"/>
        </w:rPr>
        <w:t>设施</w:t>
      </w:r>
      <w:r>
        <w:rPr>
          <w:rFonts w:eastAsia="仿宋_GB2312"/>
          <w:kern w:val="0"/>
          <w:sz w:val="32"/>
          <w:szCs w:val="32"/>
        </w:rPr>
        <w:t>类型进行概述。</w:t>
      </w:r>
    </w:p>
    <w:p>
      <w:pPr>
        <w:spacing w:line="560" w:lineRule="exact"/>
        <w:outlineLvl w:val="2"/>
        <w:rPr>
          <w:rFonts w:eastAsia="黑体"/>
          <w:bCs/>
          <w:sz w:val="32"/>
          <w:szCs w:val="32"/>
        </w:rPr>
      </w:pPr>
      <w:bookmarkStart w:id="187" w:name="_Toc498299374"/>
      <w:bookmarkStart w:id="188" w:name="_Toc500007182"/>
      <w:bookmarkStart w:id="189" w:name="_Toc498519844"/>
      <w:r>
        <w:rPr>
          <w:rFonts w:eastAsia="黑体"/>
          <w:bCs/>
          <w:sz w:val="32"/>
          <w:szCs w:val="32"/>
        </w:rPr>
        <w:t>5.8.2起重机械与电梯</w:t>
      </w:r>
      <w:bookmarkEnd w:id="187"/>
      <w:bookmarkEnd w:id="188"/>
      <w:bookmarkEnd w:id="189"/>
    </w:p>
    <w:p>
      <w:pPr>
        <w:spacing w:line="560" w:lineRule="exact"/>
        <w:ind w:firstLine="640" w:firstLineChars="200"/>
        <w:rPr>
          <w:rFonts w:eastAsia="仿宋_GB2312"/>
          <w:kern w:val="0"/>
          <w:sz w:val="32"/>
          <w:szCs w:val="32"/>
        </w:rPr>
      </w:pPr>
      <w:r>
        <w:rPr>
          <w:rFonts w:hint="eastAsia" w:eastAsia="仿宋_GB2312"/>
          <w:kern w:val="0"/>
          <w:sz w:val="32"/>
          <w:szCs w:val="32"/>
        </w:rPr>
        <w:t>（1）对</w:t>
      </w:r>
      <w:r>
        <w:rPr>
          <w:rFonts w:eastAsia="仿宋_GB2312"/>
          <w:kern w:val="0"/>
          <w:sz w:val="32"/>
          <w:szCs w:val="32"/>
        </w:rPr>
        <w:t>起重机械与电梯的种类、数量及其分布</w:t>
      </w:r>
      <w:r>
        <w:rPr>
          <w:rFonts w:hint="eastAsia" w:eastAsia="仿宋_GB2312"/>
          <w:kern w:val="0"/>
          <w:sz w:val="32"/>
          <w:szCs w:val="32"/>
        </w:rPr>
        <w:t>进行概述；对</w:t>
      </w:r>
      <w:r>
        <w:rPr>
          <w:rFonts w:eastAsia="仿宋_GB2312"/>
          <w:kern w:val="0"/>
          <w:sz w:val="32"/>
          <w:szCs w:val="32"/>
        </w:rPr>
        <w:t>起重机械与电梯的</w:t>
      </w:r>
      <w:r>
        <w:rPr>
          <w:rFonts w:hint="eastAsia" w:eastAsia="仿宋_GB2312"/>
          <w:kern w:val="0"/>
          <w:sz w:val="32"/>
          <w:szCs w:val="32"/>
        </w:rPr>
        <w:t>使用登记</w:t>
      </w:r>
      <w:r>
        <w:rPr>
          <w:rFonts w:eastAsia="仿宋_GB2312"/>
          <w:kern w:val="0"/>
          <w:sz w:val="32"/>
          <w:szCs w:val="32"/>
        </w:rPr>
        <w:t>证书、和</w:t>
      </w:r>
      <w:r>
        <w:rPr>
          <w:rFonts w:hint="eastAsia" w:eastAsia="仿宋_GB2312"/>
          <w:kern w:val="0"/>
          <w:sz w:val="32"/>
          <w:szCs w:val="32"/>
        </w:rPr>
        <w:t>检验</w:t>
      </w:r>
      <w:r>
        <w:rPr>
          <w:rFonts w:eastAsia="仿宋_GB2312"/>
          <w:kern w:val="0"/>
          <w:sz w:val="32"/>
          <w:szCs w:val="32"/>
        </w:rPr>
        <w:t>情况、</w:t>
      </w:r>
      <w:r>
        <w:rPr>
          <w:rFonts w:hint="eastAsia" w:eastAsia="仿宋_GB2312"/>
          <w:kern w:val="0"/>
          <w:sz w:val="32"/>
          <w:szCs w:val="32"/>
        </w:rPr>
        <w:t>检验</w:t>
      </w:r>
      <w:r>
        <w:rPr>
          <w:rFonts w:eastAsia="仿宋_GB2312"/>
          <w:kern w:val="0"/>
          <w:sz w:val="32"/>
          <w:szCs w:val="32"/>
        </w:rPr>
        <w:t>有效期进行检查评价。</w:t>
      </w:r>
    </w:p>
    <w:p>
      <w:pPr>
        <w:spacing w:line="560" w:lineRule="exact"/>
        <w:ind w:firstLine="640" w:firstLineChars="200"/>
        <w:rPr>
          <w:rFonts w:eastAsia="仿宋_GB2312"/>
          <w:kern w:val="0"/>
          <w:sz w:val="32"/>
          <w:szCs w:val="32"/>
        </w:rPr>
      </w:pPr>
      <w:r>
        <w:rPr>
          <w:rFonts w:hint="eastAsia" w:eastAsia="仿宋_GB2312"/>
          <w:kern w:val="0"/>
          <w:sz w:val="32"/>
          <w:szCs w:val="32"/>
        </w:rPr>
        <w:t>（2）对吊运熔融金属（渣）冶金起重机的合规性进行评价。</w:t>
      </w:r>
    </w:p>
    <w:p>
      <w:pPr>
        <w:spacing w:line="560" w:lineRule="exact"/>
        <w:outlineLvl w:val="2"/>
        <w:rPr>
          <w:rFonts w:eastAsia="黑体"/>
          <w:bCs/>
          <w:sz w:val="32"/>
          <w:szCs w:val="32"/>
        </w:rPr>
      </w:pPr>
      <w:bookmarkStart w:id="190" w:name="_Toc498299375"/>
      <w:bookmarkStart w:id="191" w:name="_Toc500007183"/>
      <w:bookmarkStart w:id="192" w:name="_Toc498519845"/>
      <w:r>
        <w:rPr>
          <w:rFonts w:eastAsia="黑体"/>
          <w:bCs/>
          <w:sz w:val="32"/>
          <w:szCs w:val="32"/>
        </w:rPr>
        <w:t>5.8.3压力容器、</w:t>
      </w:r>
      <w:r>
        <w:rPr>
          <w:rFonts w:hint="eastAsia" w:eastAsia="黑体"/>
          <w:bCs/>
          <w:sz w:val="32"/>
          <w:szCs w:val="32"/>
        </w:rPr>
        <w:t>锅炉、</w:t>
      </w:r>
      <w:r>
        <w:rPr>
          <w:rFonts w:eastAsia="黑体"/>
          <w:bCs/>
          <w:sz w:val="32"/>
          <w:szCs w:val="32"/>
        </w:rPr>
        <w:t>管道、阀门及其强制检测附件</w:t>
      </w:r>
      <w:bookmarkEnd w:id="190"/>
      <w:bookmarkEnd w:id="191"/>
      <w:bookmarkEnd w:id="192"/>
    </w:p>
    <w:p>
      <w:pPr>
        <w:spacing w:line="560" w:lineRule="exact"/>
        <w:ind w:firstLine="640" w:firstLineChars="200"/>
        <w:rPr>
          <w:rFonts w:eastAsia="仿宋_GB2312"/>
          <w:kern w:val="0"/>
          <w:sz w:val="32"/>
          <w:szCs w:val="32"/>
        </w:rPr>
      </w:pPr>
      <w:r>
        <w:rPr>
          <w:rFonts w:hint="eastAsia" w:eastAsia="仿宋_GB2312"/>
          <w:kern w:val="0"/>
          <w:sz w:val="32"/>
          <w:szCs w:val="32"/>
        </w:rPr>
        <w:t>对</w:t>
      </w:r>
      <w:r>
        <w:rPr>
          <w:rFonts w:eastAsia="仿宋_GB2312"/>
          <w:kern w:val="0"/>
          <w:sz w:val="32"/>
          <w:szCs w:val="32"/>
        </w:rPr>
        <w:t>压力容器、</w:t>
      </w:r>
      <w:r>
        <w:rPr>
          <w:rFonts w:hint="eastAsia" w:eastAsia="仿宋_GB2312"/>
          <w:kern w:val="0"/>
          <w:sz w:val="32"/>
          <w:szCs w:val="32"/>
        </w:rPr>
        <w:t>锅炉、</w:t>
      </w:r>
      <w:r>
        <w:rPr>
          <w:rFonts w:eastAsia="仿宋_GB2312"/>
          <w:kern w:val="0"/>
          <w:sz w:val="32"/>
          <w:szCs w:val="32"/>
        </w:rPr>
        <w:t>管道、阀门的种类、数量及其分布，压力容器、管道、阀门的验收、检测，压力容器的登记注册证书、检测情况、检测有效期</w:t>
      </w:r>
      <w:r>
        <w:rPr>
          <w:rFonts w:hint="eastAsia" w:eastAsia="仿宋_GB2312"/>
          <w:kern w:val="0"/>
          <w:sz w:val="32"/>
          <w:szCs w:val="32"/>
        </w:rPr>
        <w:t>等</w:t>
      </w:r>
      <w:r>
        <w:rPr>
          <w:rFonts w:eastAsia="仿宋_GB2312"/>
          <w:kern w:val="0"/>
          <w:sz w:val="32"/>
          <w:szCs w:val="32"/>
        </w:rPr>
        <w:t>进行检查评价。</w:t>
      </w:r>
    </w:p>
    <w:p>
      <w:pPr>
        <w:spacing w:line="560" w:lineRule="exact"/>
        <w:outlineLvl w:val="2"/>
        <w:rPr>
          <w:rFonts w:eastAsia="黑体"/>
          <w:bCs/>
          <w:sz w:val="32"/>
          <w:szCs w:val="32"/>
        </w:rPr>
      </w:pPr>
      <w:bookmarkStart w:id="193" w:name="_Toc498519846"/>
      <w:bookmarkStart w:id="194" w:name="_Toc498299376"/>
      <w:bookmarkStart w:id="195" w:name="_Toc500007184"/>
      <w:r>
        <w:rPr>
          <w:rFonts w:eastAsia="黑体"/>
          <w:bCs/>
          <w:sz w:val="32"/>
          <w:szCs w:val="32"/>
        </w:rPr>
        <w:t>5.8.4</w:t>
      </w:r>
      <w:bookmarkEnd w:id="193"/>
      <w:bookmarkEnd w:id="194"/>
      <w:r>
        <w:rPr>
          <w:rFonts w:hint="eastAsia" w:eastAsia="黑体"/>
          <w:bCs/>
          <w:sz w:val="32"/>
          <w:szCs w:val="32"/>
        </w:rPr>
        <w:t>叉车</w:t>
      </w:r>
      <w:bookmarkEnd w:id="195"/>
    </w:p>
    <w:p>
      <w:pPr>
        <w:spacing w:line="560" w:lineRule="exact"/>
        <w:ind w:firstLine="640" w:firstLineChars="200"/>
        <w:rPr>
          <w:rFonts w:eastAsia="仿宋_GB2312"/>
          <w:kern w:val="0"/>
          <w:sz w:val="32"/>
          <w:szCs w:val="32"/>
        </w:rPr>
      </w:pPr>
      <w:r>
        <w:rPr>
          <w:rFonts w:hint="eastAsia" w:eastAsia="仿宋_GB2312"/>
          <w:kern w:val="0"/>
          <w:sz w:val="32"/>
          <w:szCs w:val="32"/>
        </w:rPr>
        <w:t>对叉车</w:t>
      </w:r>
      <w:r>
        <w:rPr>
          <w:rFonts w:eastAsia="仿宋_GB2312"/>
          <w:kern w:val="0"/>
          <w:sz w:val="32"/>
          <w:szCs w:val="32"/>
        </w:rPr>
        <w:t>的种类、数量及其分布</w:t>
      </w:r>
      <w:r>
        <w:rPr>
          <w:rFonts w:hint="eastAsia" w:eastAsia="仿宋_GB2312"/>
          <w:kern w:val="0"/>
          <w:sz w:val="32"/>
          <w:szCs w:val="32"/>
        </w:rPr>
        <w:t>进行概述；对叉车</w:t>
      </w:r>
      <w:r>
        <w:rPr>
          <w:rFonts w:eastAsia="仿宋_GB2312"/>
          <w:kern w:val="0"/>
          <w:sz w:val="32"/>
          <w:szCs w:val="32"/>
        </w:rPr>
        <w:t>的</w:t>
      </w:r>
      <w:r>
        <w:rPr>
          <w:rFonts w:hint="eastAsia" w:eastAsia="仿宋_GB2312"/>
          <w:kern w:val="0"/>
          <w:sz w:val="32"/>
          <w:szCs w:val="32"/>
        </w:rPr>
        <w:t>检验及使用登记</w:t>
      </w:r>
      <w:r>
        <w:rPr>
          <w:rFonts w:eastAsia="仿宋_GB2312"/>
          <w:kern w:val="0"/>
          <w:sz w:val="32"/>
          <w:szCs w:val="32"/>
        </w:rPr>
        <w:t>证书</w:t>
      </w:r>
      <w:r>
        <w:rPr>
          <w:rFonts w:hint="eastAsia" w:eastAsia="仿宋_GB2312"/>
          <w:kern w:val="0"/>
          <w:sz w:val="32"/>
          <w:szCs w:val="32"/>
        </w:rPr>
        <w:t>，检验</w:t>
      </w:r>
      <w:r>
        <w:rPr>
          <w:rFonts w:eastAsia="仿宋_GB2312"/>
          <w:kern w:val="0"/>
          <w:sz w:val="32"/>
          <w:szCs w:val="32"/>
        </w:rPr>
        <w:t>有效期进行检查评价。</w:t>
      </w:r>
    </w:p>
    <w:p>
      <w:pPr>
        <w:spacing w:line="560" w:lineRule="exact"/>
        <w:outlineLvl w:val="2"/>
        <w:rPr>
          <w:rFonts w:eastAsia="黑体"/>
          <w:bCs/>
          <w:sz w:val="32"/>
          <w:szCs w:val="32"/>
        </w:rPr>
      </w:pPr>
      <w:bookmarkStart w:id="196" w:name="_Toc498519847"/>
      <w:bookmarkStart w:id="197" w:name="_Toc500007185"/>
      <w:bookmarkStart w:id="198" w:name="_Toc498299377"/>
      <w:r>
        <w:rPr>
          <w:rFonts w:eastAsia="黑体"/>
          <w:bCs/>
          <w:sz w:val="32"/>
          <w:szCs w:val="32"/>
        </w:rPr>
        <w:t>5.8.5可燃、有毒气体泄漏</w:t>
      </w:r>
      <w:r>
        <w:rPr>
          <w:rFonts w:hint="eastAsia" w:eastAsia="黑体"/>
          <w:bCs/>
          <w:sz w:val="32"/>
          <w:szCs w:val="32"/>
        </w:rPr>
        <w:t>监测</w:t>
      </w:r>
      <w:r>
        <w:rPr>
          <w:rFonts w:eastAsia="黑体"/>
          <w:bCs/>
          <w:sz w:val="32"/>
          <w:szCs w:val="32"/>
        </w:rPr>
        <w:t>报警仪</w:t>
      </w:r>
      <w:bookmarkEnd w:id="196"/>
      <w:bookmarkEnd w:id="197"/>
      <w:bookmarkEnd w:id="198"/>
    </w:p>
    <w:p>
      <w:pPr>
        <w:spacing w:line="560" w:lineRule="exact"/>
        <w:ind w:firstLine="640" w:firstLineChars="200"/>
        <w:rPr>
          <w:rFonts w:eastAsia="仿宋_GB2312"/>
          <w:kern w:val="0"/>
          <w:sz w:val="32"/>
          <w:szCs w:val="32"/>
        </w:rPr>
      </w:pPr>
      <w:r>
        <w:rPr>
          <w:rFonts w:hint="eastAsia" w:eastAsia="仿宋_GB2312"/>
          <w:kern w:val="0"/>
          <w:sz w:val="32"/>
          <w:szCs w:val="32"/>
        </w:rPr>
        <w:t>对</w:t>
      </w:r>
      <w:r>
        <w:rPr>
          <w:rFonts w:eastAsia="仿宋_GB2312"/>
          <w:kern w:val="0"/>
          <w:sz w:val="32"/>
          <w:szCs w:val="32"/>
        </w:rPr>
        <w:t>可燃、有毒气体泄漏</w:t>
      </w:r>
      <w:r>
        <w:rPr>
          <w:rFonts w:hint="eastAsia" w:eastAsia="仿宋_GB2312"/>
          <w:kern w:val="0"/>
          <w:sz w:val="32"/>
          <w:szCs w:val="32"/>
        </w:rPr>
        <w:t>监测</w:t>
      </w:r>
      <w:r>
        <w:rPr>
          <w:rFonts w:eastAsia="仿宋_GB2312"/>
          <w:kern w:val="0"/>
          <w:sz w:val="32"/>
          <w:szCs w:val="32"/>
        </w:rPr>
        <w:t>报警仪种类、数量及其分布</w:t>
      </w:r>
      <w:r>
        <w:rPr>
          <w:rFonts w:hint="eastAsia" w:eastAsia="仿宋_GB2312"/>
          <w:kern w:val="0"/>
          <w:sz w:val="32"/>
          <w:szCs w:val="32"/>
        </w:rPr>
        <w:t>进行概述</w:t>
      </w:r>
      <w:r>
        <w:rPr>
          <w:rFonts w:eastAsia="仿宋_GB2312"/>
          <w:kern w:val="0"/>
          <w:sz w:val="32"/>
          <w:szCs w:val="32"/>
        </w:rPr>
        <w:t>，对检测报告进行检查评价。</w:t>
      </w:r>
    </w:p>
    <w:p>
      <w:pPr>
        <w:spacing w:line="560" w:lineRule="exact"/>
        <w:outlineLvl w:val="2"/>
        <w:rPr>
          <w:rFonts w:eastAsia="黑体"/>
          <w:bCs/>
          <w:sz w:val="32"/>
          <w:szCs w:val="32"/>
        </w:rPr>
      </w:pPr>
      <w:bookmarkStart w:id="199" w:name="_Toc498519848"/>
      <w:bookmarkStart w:id="200" w:name="_Toc498299378"/>
      <w:bookmarkStart w:id="201" w:name="_Toc500007186"/>
      <w:r>
        <w:rPr>
          <w:rFonts w:eastAsia="黑体"/>
          <w:bCs/>
          <w:sz w:val="32"/>
          <w:szCs w:val="32"/>
        </w:rPr>
        <w:t>5.8.6防雷设施</w:t>
      </w:r>
      <w:r>
        <w:rPr>
          <w:rFonts w:hint="eastAsia" w:eastAsia="黑体"/>
          <w:bCs/>
          <w:sz w:val="32"/>
          <w:szCs w:val="32"/>
        </w:rPr>
        <w:t>检测</w:t>
      </w:r>
      <w:bookmarkEnd w:id="199"/>
      <w:bookmarkEnd w:id="200"/>
      <w:bookmarkEnd w:id="201"/>
    </w:p>
    <w:p>
      <w:pPr>
        <w:spacing w:line="560" w:lineRule="exact"/>
        <w:ind w:firstLine="640" w:firstLineChars="200"/>
        <w:rPr>
          <w:rFonts w:eastAsia="仿宋_GB2312"/>
          <w:kern w:val="0"/>
          <w:sz w:val="32"/>
          <w:szCs w:val="32"/>
        </w:rPr>
      </w:pPr>
      <w:r>
        <w:rPr>
          <w:rFonts w:hint="eastAsia" w:eastAsia="仿宋_GB2312"/>
          <w:kern w:val="0"/>
          <w:sz w:val="32"/>
          <w:szCs w:val="32"/>
        </w:rPr>
        <w:t>对</w:t>
      </w:r>
      <w:r>
        <w:rPr>
          <w:rFonts w:eastAsia="仿宋_GB2312"/>
          <w:kern w:val="0"/>
          <w:sz w:val="32"/>
          <w:szCs w:val="32"/>
        </w:rPr>
        <w:t>防雷设施种类、数量及其分布</w:t>
      </w:r>
      <w:r>
        <w:rPr>
          <w:rFonts w:hint="eastAsia" w:eastAsia="仿宋_GB2312"/>
          <w:kern w:val="0"/>
          <w:sz w:val="32"/>
          <w:szCs w:val="32"/>
        </w:rPr>
        <w:t>进行概述；对</w:t>
      </w:r>
      <w:r>
        <w:rPr>
          <w:rFonts w:eastAsia="仿宋_GB2312"/>
          <w:kern w:val="0"/>
          <w:sz w:val="32"/>
          <w:szCs w:val="32"/>
        </w:rPr>
        <w:t>防雷装置的检测报告进行检查评价。</w:t>
      </w:r>
    </w:p>
    <w:p>
      <w:pPr>
        <w:spacing w:line="560" w:lineRule="exact"/>
        <w:outlineLvl w:val="1"/>
        <w:rPr>
          <w:rFonts w:eastAsia="黑体"/>
          <w:color w:val="000000"/>
          <w:sz w:val="32"/>
          <w:szCs w:val="32"/>
        </w:rPr>
      </w:pPr>
      <w:bookmarkStart w:id="202" w:name="_Toc498299380"/>
      <w:bookmarkStart w:id="203" w:name="_Toc498519850"/>
      <w:bookmarkStart w:id="204" w:name="_Toc500007187"/>
      <w:r>
        <w:rPr>
          <w:rFonts w:eastAsia="黑体"/>
          <w:color w:val="000000"/>
          <w:sz w:val="32"/>
          <w:szCs w:val="32"/>
        </w:rPr>
        <w:t>5.9周边环境适宜性</w:t>
      </w:r>
      <w:bookmarkEnd w:id="202"/>
      <w:bookmarkEnd w:id="203"/>
      <w:r>
        <w:rPr>
          <w:rFonts w:hint="eastAsia" w:eastAsia="黑体"/>
          <w:color w:val="000000"/>
          <w:sz w:val="32"/>
          <w:szCs w:val="32"/>
        </w:rPr>
        <w:t>评价</w:t>
      </w:r>
      <w:bookmarkEnd w:id="204"/>
    </w:p>
    <w:p>
      <w:pPr>
        <w:spacing w:line="560" w:lineRule="exact"/>
        <w:outlineLvl w:val="2"/>
        <w:rPr>
          <w:rFonts w:eastAsia="黑体"/>
          <w:bCs/>
          <w:sz w:val="32"/>
          <w:szCs w:val="32"/>
        </w:rPr>
      </w:pPr>
      <w:bookmarkStart w:id="205" w:name="_Toc498519851"/>
      <w:bookmarkStart w:id="206" w:name="_Toc500007188"/>
      <w:bookmarkStart w:id="207" w:name="_Toc498299381"/>
      <w:r>
        <w:rPr>
          <w:rFonts w:eastAsia="黑体"/>
          <w:bCs/>
          <w:sz w:val="32"/>
          <w:szCs w:val="32"/>
        </w:rPr>
        <w:t>5.9.1建设项目可能发生的事故类型对周边单位生产、经营活动或居民的影响</w:t>
      </w:r>
      <w:bookmarkEnd w:id="205"/>
      <w:bookmarkEnd w:id="206"/>
      <w:bookmarkEnd w:id="207"/>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kern w:val="0"/>
          <w:sz w:val="32"/>
          <w:szCs w:val="32"/>
        </w:rPr>
        <w:t>金属冶炼</w:t>
      </w:r>
      <w:r>
        <w:rPr>
          <w:rFonts w:eastAsia="仿宋_GB2312"/>
          <w:kern w:val="0"/>
          <w:sz w:val="32"/>
          <w:szCs w:val="32"/>
        </w:rPr>
        <w:t>建设项目固有危险、有害因素出现异常，可能会导致易燃物质泄漏对周边</w:t>
      </w:r>
      <w:r>
        <w:rPr>
          <w:rFonts w:hint="eastAsia" w:eastAsia="仿宋_GB2312"/>
          <w:kern w:val="0"/>
          <w:sz w:val="32"/>
          <w:szCs w:val="32"/>
        </w:rPr>
        <w:t>单位或居民</w:t>
      </w:r>
      <w:r>
        <w:rPr>
          <w:rFonts w:eastAsia="仿宋_GB2312"/>
          <w:kern w:val="0"/>
          <w:sz w:val="32"/>
          <w:szCs w:val="32"/>
        </w:rPr>
        <w:t>影响进行评价。</w:t>
      </w:r>
    </w:p>
    <w:p>
      <w:pPr>
        <w:spacing w:line="560" w:lineRule="exact"/>
        <w:outlineLvl w:val="2"/>
        <w:rPr>
          <w:rFonts w:eastAsia="黑体"/>
          <w:bCs/>
          <w:sz w:val="32"/>
          <w:szCs w:val="32"/>
        </w:rPr>
      </w:pPr>
      <w:bookmarkStart w:id="208" w:name="_Toc498299382"/>
      <w:bookmarkStart w:id="209" w:name="_Toc500007189"/>
      <w:bookmarkStart w:id="210" w:name="_Toc498519852"/>
      <w:r>
        <w:rPr>
          <w:rFonts w:eastAsia="黑体"/>
          <w:bCs/>
          <w:sz w:val="32"/>
          <w:szCs w:val="32"/>
        </w:rPr>
        <w:t>5.9.2周边</w:t>
      </w:r>
      <w:r>
        <w:rPr>
          <w:rFonts w:hint="eastAsia" w:eastAsia="黑体"/>
          <w:bCs/>
          <w:sz w:val="32"/>
          <w:szCs w:val="32"/>
        </w:rPr>
        <w:t>单位或居民</w:t>
      </w:r>
      <w:r>
        <w:rPr>
          <w:rFonts w:eastAsia="黑体"/>
          <w:bCs/>
          <w:sz w:val="32"/>
          <w:szCs w:val="32"/>
        </w:rPr>
        <w:t>对建设项目的影响</w:t>
      </w:r>
      <w:bookmarkEnd w:id="208"/>
      <w:bookmarkEnd w:id="209"/>
      <w:bookmarkEnd w:id="210"/>
    </w:p>
    <w:p>
      <w:pPr>
        <w:spacing w:line="560" w:lineRule="exact"/>
        <w:ind w:firstLine="640" w:firstLineChars="200"/>
        <w:rPr>
          <w:rFonts w:eastAsia="仿宋_GB2312"/>
          <w:kern w:val="0"/>
          <w:sz w:val="32"/>
          <w:szCs w:val="32"/>
        </w:rPr>
      </w:pPr>
      <w:r>
        <w:rPr>
          <w:rFonts w:eastAsia="仿宋_GB2312"/>
          <w:kern w:val="0"/>
          <w:sz w:val="32"/>
          <w:szCs w:val="32"/>
        </w:rPr>
        <w:t>周围商业中心、公园、居民区、学校等人口密集区域，医院、影剧院、体育场（馆）等公共设施。对</w:t>
      </w:r>
      <w:r>
        <w:rPr>
          <w:rFonts w:hint="eastAsia" w:eastAsia="仿宋_GB2312"/>
          <w:kern w:val="0"/>
          <w:sz w:val="32"/>
          <w:szCs w:val="32"/>
        </w:rPr>
        <w:t>金属冶炼</w:t>
      </w:r>
      <w:r>
        <w:rPr>
          <w:rFonts w:eastAsia="仿宋_GB2312"/>
          <w:kern w:val="0"/>
          <w:sz w:val="32"/>
          <w:szCs w:val="32"/>
        </w:rPr>
        <w:t>建设项目的运行的影响进行评价。</w:t>
      </w:r>
    </w:p>
    <w:p>
      <w:pPr>
        <w:spacing w:line="560" w:lineRule="exact"/>
        <w:outlineLvl w:val="2"/>
        <w:rPr>
          <w:rFonts w:eastAsia="黑体"/>
          <w:bCs/>
          <w:sz w:val="32"/>
          <w:szCs w:val="32"/>
        </w:rPr>
      </w:pPr>
      <w:bookmarkStart w:id="211" w:name="_Toc498519853"/>
      <w:bookmarkStart w:id="212" w:name="_Toc498299383"/>
      <w:bookmarkStart w:id="213" w:name="_Toc500007190"/>
      <w:r>
        <w:rPr>
          <w:rFonts w:eastAsia="黑体"/>
          <w:bCs/>
          <w:sz w:val="32"/>
          <w:szCs w:val="32"/>
        </w:rPr>
        <w:t>5.9.3建设项目所在地自然条件对本项目的影响</w:t>
      </w:r>
      <w:bookmarkEnd w:id="211"/>
      <w:bookmarkEnd w:id="212"/>
      <w:bookmarkEnd w:id="213"/>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kern w:val="0"/>
          <w:sz w:val="32"/>
          <w:szCs w:val="32"/>
        </w:rPr>
        <w:t>金属冶炼</w:t>
      </w:r>
      <w:r>
        <w:rPr>
          <w:rFonts w:eastAsia="仿宋_GB2312"/>
          <w:kern w:val="0"/>
          <w:sz w:val="32"/>
          <w:szCs w:val="32"/>
        </w:rPr>
        <w:t>建设项目所在地自然条件（地震、雷击、降雨、洪水、台风、温度、湿度等）对生产、设备设施影响，产生事故后果的应急处置情况进行评价。</w:t>
      </w:r>
    </w:p>
    <w:p>
      <w:pPr>
        <w:spacing w:line="560" w:lineRule="exact"/>
        <w:outlineLvl w:val="1"/>
        <w:rPr>
          <w:rFonts w:eastAsia="黑体"/>
          <w:color w:val="000000"/>
          <w:sz w:val="32"/>
          <w:szCs w:val="32"/>
        </w:rPr>
      </w:pPr>
      <w:bookmarkStart w:id="214" w:name="_Toc500007191"/>
      <w:bookmarkStart w:id="215" w:name="_Toc498299385"/>
      <w:bookmarkStart w:id="216" w:name="_Toc498519855"/>
      <w:r>
        <w:rPr>
          <w:rFonts w:eastAsia="黑体"/>
          <w:color w:val="000000"/>
          <w:sz w:val="32"/>
          <w:szCs w:val="32"/>
        </w:rPr>
        <w:t>5.10</w:t>
      </w:r>
      <w:r>
        <w:rPr>
          <w:rFonts w:hint="eastAsia" w:eastAsia="黑体"/>
          <w:color w:val="000000"/>
          <w:sz w:val="32"/>
          <w:szCs w:val="32"/>
        </w:rPr>
        <w:t>危险化学品</w:t>
      </w:r>
      <w:r>
        <w:rPr>
          <w:rFonts w:eastAsia="黑体"/>
          <w:color w:val="000000"/>
          <w:sz w:val="32"/>
          <w:szCs w:val="32"/>
        </w:rPr>
        <w:t>重大危险源</w:t>
      </w:r>
      <w:bookmarkEnd w:id="214"/>
      <w:bookmarkEnd w:id="215"/>
      <w:bookmarkEnd w:id="216"/>
    </w:p>
    <w:p>
      <w:pPr>
        <w:spacing w:line="560" w:lineRule="exact"/>
        <w:outlineLvl w:val="2"/>
        <w:rPr>
          <w:rFonts w:eastAsia="黑体"/>
          <w:bCs/>
          <w:sz w:val="32"/>
          <w:szCs w:val="32"/>
        </w:rPr>
      </w:pPr>
      <w:bookmarkStart w:id="217" w:name="_Toc498299386"/>
      <w:bookmarkStart w:id="218" w:name="_Toc500007192"/>
      <w:bookmarkStart w:id="219" w:name="_Toc498519856"/>
      <w:r>
        <w:rPr>
          <w:rFonts w:eastAsia="黑体"/>
          <w:bCs/>
          <w:sz w:val="32"/>
          <w:szCs w:val="32"/>
        </w:rPr>
        <w:t>5.10.1</w:t>
      </w:r>
      <w:r>
        <w:rPr>
          <w:rFonts w:hint="eastAsia" w:eastAsia="黑体"/>
          <w:bCs/>
          <w:sz w:val="32"/>
          <w:szCs w:val="32"/>
        </w:rPr>
        <w:t>危险化学品</w:t>
      </w:r>
      <w:r>
        <w:rPr>
          <w:rFonts w:eastAsia="黑体"/>
          <w:bCs/>
          <w:sz w:val="32"/>
          <w:szCs w:val="32"/>
        </w:rPr>
        <w:t>重大危险源、重点危险场所及设备设施的位置</w:t>
      </w:r>
      <w:bookmarkEnd w:id="217"/>
      <w:bookmarkEnd w:id="218"/>
      <w:bookmarkEnd w:id="219"/>
    </w:p>
    <w:p>
      <w:pPr>
        <w:spacing w:line="560" w:lineRule="exact"/>
        <w:ind w:firstLine="640" w:firstLineChars="200"/>
        <w:rPr>
          <w:rFonts w:eastAsia="仿宋_GB2312"/>
          <w:kern w:val="0"/>
          <w:sz w:val="32"/>
          <w:szCs w:val="32"/>
        </w:rPr>
      </w:pPr>
      <w:r>
        <w:rPr>
          <w:rFonts w:eastAsia="仿宋_GB2312"/>
          <w:kern w:val="0"/>
          <w:sz w:val="32"/>
          <w:szCs w:val="32"/>
        </w:rPr>
        <w:t>对</w:t>
      </w:r>
      <w:r>
        <w:rPr>
          <w:rFonts w:hint="eastAsia" w:eastAsia="仿宋_GB2312"/>
          <w:kern w:val="0"/>
          <w:sz w:val="32"/>
          <w:szCs w:val="32"/>
        </w:rPr>
        <w:t>危险化学品</w:t>
      </w:r>
      <w:r>
        <w:rPr>
          <w:rFonts w:eastAsia="仿宋_GB2312"/>
          <w:kern w:val="0"/>
          <w:sz w:val="32"/>
          <w:szCs w:val="32"/>
        </w:rPr>
        <w:t>重大危险源</w:t>
      </w:r>
      <w:r>
        <w:rPr>
          <w:rFonts w:hint="eastAsia" w:eastAsia="仿宋_GB2312"/>
          <w:kern w:val="0"/>
          <w:sz w:val="32"/>
          <w:szCs w:val="32"/>
        </w:rPr>
        <w:t>、重点危险场所及设备设施</w:t>
      </w:r>
      <w:r>
        <w:rPr>
          <w:rFonts w:eastAsia="仿宋_GB2312"/>
          <w:kern w:val="0"/>
          <w:sz w:val="32"/>
          <w:szCs w:val="32"/>
        </w:rPr>
        <w:t>与其他设施的安全距离及安全防护措施进行评价。</w:t>
      </w:r>
    </w:p>
    <w:p>
      <w:pPr>
        <w:spacing w:line="560" w:lineRule="exact"/>
        <w:outlineLvl w:val="2"/>
        <w:rPr>
          <w:rFonts w:eastAsia="黑体"/>
          <w:bCs/>
          <w:sz w:val="32"/>
          <w:szCs w:val="32"/>
        </w:rPr>
      </w:pPr>
      <w:bookmarkStart w:id="220" w:name="_Toc500007193"/>
      <w:bookmarkStart w:id="221" w:name="_Toc498519857"/>
      <w:bookmarkStart w:id="222" w:name="_Toc498299387"/>
      <w:r>
        <w:rPr>
          <w:rFonts w:eastAsia="黑体"/>
          <w:bCs/>
          <w:sz w:val="32"/>
          <w:szCs w:val="32"/>
        </w:rPr>
        <w:t>5.10.2检测与监控系统</w:t>
      </w:r>
      <w:bookmarkEnd w:id="220"/>
      <w:bookmarkEnd w:id="221"/>
      <w:bookmarkEnd w:id="222"/>
    </w:p>
    <w:p>
      <w:pPr>
        <w:spacing w:line="560" w:lineRule="exact"/>
        <w:ind w:firstLine="640" w:firstLineChars="200"/>
        <w:rPr>
          <w:rFonts w:eastAsia="仿宋_GB2312"/>
          <w:kern w:val="0"/>
          <w:sz w:val="32"/>
          <w:szCs w:val="32"/>
        </w:rPr>
      </w:pPr>
      <w:r>
        <w:rPr>
          <w:rFonts w:eastAsia="仿宋_GB2312"/>
          <w:kern w:val="0"/>
          <w:sz w:val="32"/>
          <w:szCs w:val="32"/>
        </w:rPr>
        <w:t>参照有关规定，对</w:t>
      </w:r>
      <w:r>
        <w:rPr>
          <w:rFonts w:hint="eastAsia" w:eastAsia="仿宋_GB2312"/>
          <w:kern w:val="0"/>
          <w:sz w:val="32"/>
          <w:szCs w:val="32"/>
        </w:rPr>
        <w:t>危险化学品</w:t>
      </w:r>
      <w:r>
        <w:rPr>
          <w:rFonts w:eastAsia="仿宋_GB2312"/>
          <w:kern w:val="0"/>
          <w:sz w:val="32"/>
          <w:szCs w:val="32"/>
        </w:rPr>
        <w:t>重大危险源、重点危险场所及设备设施采取的检测与监控措施进行评价。</w:t>
      </w:r>
    </w:p>
    <w:p>
      <w:pPr>
        <w:spacing w:line="560" w:lineRule="exact"/>
        <w:outlineLvl w:val="1"/>
        <w:rPr>
          <w:rFonts w:eastAsia="黑体"/>
          <w:color w:val="000000"/>
          <w:sz w:val="32"/>
          <w:szCs w:val="32"/>
        </w:rPr>
      </w:pPr>
      <w:bookmarkStart w:id="223" w:name="_Toc498519858"/>
      <w:bookmarkStart w:id="224" w:name="_Toc498299388"/>
      <w:bookmarkStart w:id="225" w:name="_Toc500007194"/>
      <w:r>
        <w:rPr>
          <w:rFonts w:eastAsia="黑体"/>
          <w:color w:val="000000"/>
          <w:sz w:val="32"/>
          <w:szCs w:val="32"/>
        </w:rPr>
        <w:t>5.11安全管理及应急救援单元</w:t>
      </w:r>
      <w:bookmarkEnd w:id="223"/>
      <w:bookmarkEnd w:id="224"/>
      <w:bookmarkEnd w:id="225"/>
    </w:p>
    <w:p>
      <w:pPr>
        <w:pStyle w:val="8"/>
        <w:spacing w:line="560" w:lineRule="exact"/>
        <w:ind w:firstLine="640"/>
        <w:rPr>
          <w:rFonts w:eastAsia="仿宋_GB2312"/>
          <w:sz w:val="32"/>
          <w:szCs w:val="32"/>
        </w:rPr>
      </w:pPr>
      <w:r>
        <w:rPr>
          <w:rFonts w:eastAsia="仿宋_GB2312"/>
          <w:sz w:val="32"/>
          <w:szCs w:val="32"/>
        </w:rPr>
        <w:t>对金属冶炼建设项目安全管理组织与制度、机构设置、安全管理人员配备、安全运行管理、应急管理</w:t>
      </w:r>
      <w:r>
        <w:rPr>
          <w:rFonts w:hint="eastAsia" w:eastAsia="仿宋_GB2312"/>
          <w:sz w:val="32"/>
          <w:szCs w:val="32"/>
        </w:rPr>
        <w:t>等进行评价</w:t>
      </w:r>
      <w:r>
        <w:rPr>
          <w:rFonts w:eastAsia="仿宋_GB2312"/>
          <w:sz w:val="32"/>
          <w:szCs w:val="32"/>
        </w:rPr>
        <w:t>。</w:t>
      </w:r>
    </w:p>
    <w:p>
      <w:pPr>
        <w:spacing w:line="560" w:lineRule="exact"/>
        <w:outlineLvl w:val="2"/>
        <w:rPr>
          <w:rFonts w:eastAsia="黑体"/>
          <w:bCs/>
          <w:sz w:val="32"/>
          <w:szCs w:val="32"/>
        </w:rPr>
      </w:pPr>
      <w:bookmarkStart w:id="226" w:name="_Toc498519859"/>
      <w:bookmarkStart w:id="227" w:name="_Toc498299389"/>
      <w:bookmarkStart w:id="228" w:name="_Toc500007195"/>
      <w:r>
        <w:rPr>
          <w:rFonts w:eastAsia="黑体"/>
          <w:bCs/>
          <w:sz w:val="32"/>
          <w:szCs w:val="32"/>
        </w:rPr>
        <w:t>5.12.1组织与制度</w:t>
      </w:r>
      <w:bookmarkEnd w:id="226"/>
      <w:bookmarkEnd w:id="227"/>
      <w:bookmarkEnd w:id="228"/>
    </w:p>
    <w:p>
      <w:pPr>
        <w:pStyle w:val="8"/>
        <w:spacing w:line="560" w:lineRule="exact"/>
        <w:ind w:firstLine="640"/>
        <w:rPr>
          <w:rFonts w:eastAsia="仿宋_GB2312"/>
          <w:sz w:val="32"/>
          <w:szCs w:val="32"/>
        </w:rPr>
      </w:pPr>
      <w:r>
        <w:rPr>
          <w:rFonts w:eastAsia="仿宋_GB2312"/>
          <w:sz w:val="32"/>
          <w:szCs w:val="32"/>
        </w:rPr>
        <w:t>对金属冶炼项目的责任制、安全教育及培训（特种作业人员持证情况）、安全投入、危险有害因素辨识、危险作业审批、应急救援、事故统计与上报等管理规章制度进行符合性评价。</w:t>
      </w:r>
    </w:p>
    <w:p>
      <w:pPr>
        <w:spacing w:line="560" w:lineRule="exact"/>
        <w:outlineLvl w:val="2"/>
        <w:rPr>
          <w:rFonts w:eastAsia="黑体"/>
          <w:bCs/>
          <w:sz w:val="32"/>
          <w:szCs w:val="32"/>
        </w:rPr>
      </w:pPr>
      <w:bookmarkStart w:id="229" w:name="_Toc500007196"/>
      <w:bookmarkStart w:id="230" w:name="_Toc498519860"/>
      <w:bookmarkStart w:id="231" w:name="_Toc498299390"/>
      <w:r>
        <w:rPr>
          <w:rFonts w:eastAsia="黑体"/>
          <w:bCs/>
          <w:sz w:val="32"/>
          <w:szCs w:val="32"/>
        </w:rPr>
        <w:t>5.12.2机构设置</w:t>
      </w:r>
      <w:bookmarkEnd w:id="229"/>
      <w:bookmarkEnd w:id="230"/>
      <w:bookmarkEnd w:id="231"/>
    </w:p>
    <w:p>
      <w:pPr>
        <w:pStyle w:val="8"/>
        <w:spacing w:line="560" w:lineRule="exact"/>
        <w:ind w:firstLine="640"/>
        <w:rPr>
          <w:rFonts w:eastAsia="仿宋_GB2312"/>
          <w:sz w:val="32"/>
          <w:szCs w:val="32"/>
        </w:rPr>
      </w:pPr>
      <w:r>
        <w:rPr>
          <w:rFonts w:eastAsia="仿宋_GB2312"/>
          <w:sz w:val="32"/>
          <w:szCs w:val="32"/>
        </w:rPr>
        <w:t>对</w:t>
      </w:r>
      <w:r>
        <w:rPr>
          <w:rFonts w:hint="eastAsia" w:eastAsia="仿宋_GB2312"/>
          <w:kern w:val="0"/>
          <w:sz w:val="32"/>
          <w:szCs w:val="32"/>
        </w:rPr>
        <w:t>金属冶炼</w:t>
      </w:r>
      <w:r>
        <w:rPr>
          <w:rFonts w:eastAsia="仿宋_GB2312"/>
          <w:kern w:val="0"/>
          <w:sz w:val="32"/>
          <w:szCs w:val="32"/>
        </w:rPr>
        <w:t>建设项目</w:t>
      </w:r>
      <w:r>
        <w:rPr>
          <w:rFonts w:eastAsia="仿宋_GB2312"/>
          <w:sz w:val="32"/>
          <w:szCs w:val="32"/>
        </w:rPr>
        <w:t>投入生产或者使用后根据相关法律法规要求设置安全组织机构及人员符合性进行评价。</w:t>
      </w:r>
    </w:p>
    <w:p>
      <w:pPr>
        <w:spacing w:line="560" w:lineRule="exact"/>
        <w:outlineLvl w:val="2"/>
        <w:rPr>
          <w:rFonts w:eastAsia="黑体"/>
          <w:bCs/>
          <w:sz w:val="32"/>
          <w:szCs w:val="32"/>
        </w:rPr>
      </w:pPr>
      <w:bookmarkStart w:id="232" w:name="_Toc500007197"/>
      <w:bookmarkStart w:id="233" w:name="_Toc498299391"/>
      <w:bookmarkStart w:id="234" w:name="_Toc498519861"/>
      <w:r>
        <w:rPr>
          <w:rFonts w:eastAsia="黑体"/>
          <w:bCs/>
          <w:sz w:val="32"/>
          <w:szCs w:val="32"/>
        </w:rPr>
        <w:t>5.12.3安全管理人员及注册安全工程师的配备</w:t>
      </w:r>
      <w:bookmarkEnd w:id="232"/>
      <w:bookmarkEnd w:id="233"/>
      <w:bookmarkEnd w:id="234"/>
    </w:p>
    <w:p>
      <w:pPr>
        <w:pStyle w:val="8"/>
        <w:spacing w:line="560" w:lineRule="exact"/>
        <w:ind w:firstLine="640"/>
        <w:rPr>
          <w:rFonts w:eastAsia="仿宋_GB2312"/>
          <w:sz w:val="32"/>
          <w:szCs w:val="32"/>
        </w:rPr>
      </w:pPr>
      <w:r>
        <w:rPr>
          <w:rFonts w:eastAsia="仿宋_GB2312"/>
          <w:sz w:val="32"/>
          <w:szCs w:val="32"/>
        </w:rPr>
        <w:t>对</w:t>
      </w:r>
      <w:r>
        <w:rPr>
          <w:rFonts w:hint="eastAsia" w:eastAsia="仿宋_GB2312"/>
          <w:kern w:val="0"/>
          <w:sz w:val="32"/>
          <w:szCs w:val="32"/>
        </w:rPr>
        <w:t>金属冶炼</w:t>
      </w:r>
      <w:r>
        <w:rPr>
          <w:rFonts w:eastAsia="仿宋_GB2312"/>
          <w:kern w:val="0"/>
          <w:sz w:val="32"/>
          <w:szCs w:val="32"/>
        </w:rPr>
        <w:t>建设项目</w:t>
      </w:r>
      <w:r>
        <w:rPr>
          <w:rFonts w:eastAsia="仿宋_GB2312"/>
          <w:sz w:val="32"/>
          <w:szCs w:val="32"/>
        </w:rPr>
        <w:t>投入生产或者使用后按照相关法律法规的要求配备安全</w:t>
      </w:r>
      <w:r>
        <w:rPr>
          <w:rFonts w:hint="eastAsia" w:eastAsia="仿宋_GB2312"/>
          <w:sz w:val="32"/>
          <w:szCs w:val="32"/>
        </w:rPr>
        <w:t>生产</w:t>
      </w:r>
      <w:r>
        <w:rPr>
          <w:rFonts w:eastAsia="仿宋_GB2312"/>
          <w:sz w:val="32"/>
          <w:szCs w:val="32"/>
        </w:rPr>
        <w:t>管理人员及注册安全工程师符合性进行评价。</w:t>
      </w:r>
    </w:p>
    <w:p>
      <w:pPr>
        <w:spacing w:line="560" w:lineRule="exact"/>
        <w:outlineLvl w:val="2"/>
        <w:rPr>
          <w:rFonts w:eastAsia="黑体"/>
          <w:bCs/>
          <w:sz w:val="32"/>
          <w:szCs w:val="32"/>
        </w:rPr>
      </w:pPr>
      <w:bookmarkStart w:id="235" w:name="_Toc498519862"/>
      <w:bookmarkStart w:id="236" w:name="_Toc498299392"/>
      <w:bookmarkStart w:id="237" w:name="_Toc500007198"/>
      <w:r>
        <w:rPr>
          <w:rFonts w:eastAsia="黑体"/>
          <w:bCs/>
          <w:sz w:val="32"/>
          <w:szCs w:val="32"/>
        </w:rPr>
        <w:t>5.12.4安全教育培训</w:t>
      </w:r>
      <w:bookmarkEnd w:id="235"/>
      <w:bookmarkEnd w:id="236"/>
      <w:bookmarkEnd w:id="237"/>
    </w:p>
    <w:p>
      <w:pPr>
        <w:pStyle w:val="8"/>
        <w:spacing w:line="560" w:lineRule="exact"/>
        <w:ind w:firstLine="640"/>
        <w:rPr>
          <w:rFonts w:eastAsia="仿宋_GB2312"/>
          <w:sz w:val="32"/>
          <w:szCs w:val="32"/>
        </w:rPr>
      </w:pPr>
      <w:r>
        <w:rPr>
          <w:rFonts w:eastAsia="仿宋_GB2312"/>
          <w:sz w:val="32"/>
          <w:szCs w:val="32"/>
        </w:rPr>
        <w:t>对主要负责人、安全生产管理人员、特种作业人员、</w:t>
      </w:r>
      <w:r>
        <w:rPr>
          <w:rFonts w:hint="eastAsia" w:eastAsia="仿宋_GB2312"/>
          <w:sz w:val="32"/>
          <w:szCs w:val="32"/>
        </w:rPr>
        <w:t>特种设备操作人员、</w:t>
      </w:r>
      <w:r>
        <w:rPr>
          <w:rFonts w:eastAsia="仿宋_GB2312"/>
          <w:sz w:val="32"/>
          <w:szCs w:val="32"/>
        </w:rPr>
        <w:t>从业人员、外协工及相关方人员等安全教育培训、持证上岗情况进行符合性评价。</w:t>
      </w:r>
    </w:p>
    <w:p>
      <w:pPr>
        <w:spacing w:line="560" w:lineRule="exact"/>
        <w:outlineLvl w:val="2"/>
        <w:rPr>
          <w:rFonts w:eastAsia="黑体"/>
          <w:bCs/>
          <w:sz w:val="32"/>
          <w:szCs w:val="32"/>
        </w:rPr>
      </w:pPr>
      <w:bookmarkStart w:id="238" w:name="_Toc498299393"/>
      <w:bookmarkStart w:id="239" w:name="_Toc498519863"/>
      <w:bookmarkStart w:id="240" w:name="_Toc500007199"/>
      <w:r>
        <w:rPr>
          <w:rFonts w:eastAsia="黑体"/>
          <w:bCs/>
          <w:sz w:val="32"/>
          <w:szCs w:val="32"/>
        </w:rPr>
        <w:t>5.12.5危险源管理</w:t>
      </w:r>
      <w:bookmarkEnd w:id="238"/>
      <w:bookmarkEnd w:id="239"/>
      <w:bookmarkEnd w:id="240"/>
    </w:p>
    <w:p>
      <w:pPr>
        <w:pStyle w:val="8"/>
        <w:spacing w:line="560" w:lineRule="exact"/>
        <w:ind w:firstLine="640"/>
        <w:rPr>
          <w:rFonts w:eastAsia="仿宋_GB2312"/>
          <w:sz w:val="32"/>
          <w:szCs w:val="32"/>
        </w:rPr>
      </w:pPr>
      <w:r>
        <w:rPr>
          <w:rFonts w:eastAsia="仿宋_GB2312"/>
          <w:sz w:val="32"/>
          <w:szCs w:val="32"/>
        </w:rPr>
        <w:t>对危险源及危险有害因素辨识与控制管理，进行检查评价。</w:t>
      </w:r>
    </w:p>
    <w:p>
      <w:pPr>
        <w:spacing w:line="560" w:lineRule="exact"/>
        <w:outlineLvl w:val="2"/>
        <w:rPr>
          <w:rFonts w:eastAsia="仿宋_GB2312"/>
          <w:sz w:val="32"/>
          <w:szCs w:val="32"/>
        </w:rPr>
      </w:pPr>
      <w:bookmarkStart w:id="241" w:name="_Toc500007200"/>
      <w:bookmarkStart w:id="242" w:name="_Toc498519864"/>
      <w:bookmarkStart w:id="243" w:name="_Toc498299394"/>
      <w:r>
        <w:rPr>
          <w:rFonts w:eastAsia="仿宋_GB2312"/>
          <w:sz w:val="32"/>
          <w:szCs w:val="32"/>
        </w:rPr>
        <w:t>5.12.6</w:t>
      </w:r>
      <w:r>
        <w:rPr>
          <w:rFonts w:eastAsia="黑体"/>
          <w:bCs/>
          <w:sz w:val="32"/>
          <w:szCs w:val="32"/>
        </w:rPr>
        <w:t>安全检查</w:t>
      </w:r>
      <w:bookmarkEnd w:id="241"/>
      <w:bookmarkEnd w:id="242"/>
      <w:bookmarkEnd w:id="243"/>
    </w:p>
    <w:p>
      <w:pPr>
        <w:pStyle w:val="8"/>
        <w:spacing w:line="560" w:lineRule="exact"/>
        <w:ind w:firstLine="640"/>
        <w:rPr>
          <w:rFonts w:eastAsia="仿宋_GB2312"/>
          <w:sz w:val="32"/>
          <w:szCs w:val="32"/>
        </w:rPr>
      </w:pPr>
      <w:r>
        <w:rPr>
          <w:rFonts w:eastAsia="仿宋_GB2312"/>
          <w:sz w:val="32"/>
          <w:szCs w:val="32"/>
        </w:rPr>
        <w:t>对隐患排查机制，隐患排查与治理闭环管理，进行检查评价。</w:t>
      </w:r>
    </w:p>
    <w:p>
      <w:pPr>
        <w:spacing w:line="560" w:lineRule="exact"/>
        <w:outlineLvl w:val="2"/>
        <w:rPr>
          <w:rFonts w:eastAsia="黑体"/>
          <w:bCs/>
          <w:sz w:val="32"/>
          <w:szCs w:val="32"/>
        </w:rPr>
      </w:pPr>
      <w:bookmarkStart w:id="244" w:name="_Toc498299396"/>
      <w:bookmarkStart w:id="245" w:name="_Toc500007201"/>
      <w:bookmarkStart w:id="246" w:name="_Toc498519866"/>
      <w:r>
        <w:rPr>
          <w:rFonts w:eastAsia="黑体"/>
          <w:bCs/>
          <w:sz w:val="32"/>
          <w:szCs w:val="32"/>
        </w:rPr>
        <w:t>5.12.7个人安全防护</w:t>
      </w:r>
      <w:bookmarkEnd w:id="244"/>
      <w:bookmarkEnd w:id="245"/>
      <w:bookmarkEnd w:id="246"/>
    </w:p>
    <w:p>
      <w:pPr>
        <w:spacing w:line="560" w:lineRule="exact"/>
        <w:ind w:firstLine="640" w:firstLineChars="200"/>
        <w:rPr>
          <w:rFonts w:eastAsia="仿宋_GB2312"/>
          <w:sz w:val="32"/>
          <w:szCs w:val="32"/>
        </w:rPr>
      </w:pPr>
      <w:r>
        <w:rPr>
          <w:rFonts w:eastAsia="仿宋_GB2312"/>
          <w:sz w:val="32"/>
          <w:szCs w:val="32"/>
        </w:rPr>
        <w:t>对金属冶炼建设项目作业人员配备的个人安全防护用品（包括防护用品的发放、防护用品的佩戴）、应急防护用品配备等进行符合性评价。</w:t>
      </w:r>
    </w:p>
    <w:p>
      <w:pPr>
        <w:spacing w:line="560" w:lineRule="exact"/>
        <w:outlineLvl w:val="2"/>
        <w:rPr>
          <w:rFonts w:eastAsia="黑体"/>
          <w:bCs/>
          <w:sz w:val="32"/>
          <w:szCs w:val="32"/>
        </w:rPr>
      </w:pPr>
      <w:bookmarkStart w:id="247" w:name="_Toc498299397"/>
      <w:bookmarkStart w:id="248" w:name="_Toc498519867"/>
      <w:bookmarkStart w:id="249" w:name="_Toc500007202"/>
      <w:r>
        <w:rPr>
          <w:rFonts w:eastAsia="黑体"/>
          <w:bCs/>
          <w:sz w:val="32"/>
          <w:szCs w:val="32"/>
        </w:rPr>
        <w:t>5.12.8安全标志</w:t>
      </w:r>
      <w:bookmarkEnd w:id="247"/>
      <w:bookmarkEnd w:id="248"/>
      <w:bookmarkEnd w:id="249"/>
    </w:p>
    <w:p>
      <w:pPr>
        <w:pStyle w:val="8"/>
        <w:spacing w:line="560" w:lineRule="exact"/>
        <w:ind w:firstLine="640"/>
        <w:rPr>
          <w:rFonts w:eastAsia="仿宋_GB2312"/>
          <w:sz w:val="32"/>
          <w:szCs w:val="32"/>
        </w:rPr>
      </w:pPr>
      <w:r>
        <w:rPr>
          <w:rFonts w:eastAsia="仿宋_GB2312"/>
          <w:sz w:val="32"/>
          <w:szCs w:val="32"/>
        </w:rPr>
        <w:t>对金属冶炼建设项目生产</w:t>
      </w:r>
      <w:r>
        <w:rPr>
          <w:rFonts w:hint="eastAsia" w:eastAsia="仿宋_GB2312"/>
          <w:sz w:val="32"/>
          <w:szCs w:val="32"/>
        </w:rPr>
        <w:t>区域</w:t>
      </w:r>
      <w:r>
        <w:rPr>
          <w:rFonts w:eastAsia="仿宋_GB2312"/>
          <w:sz w:val="32"/>
          <w:szCs w:val="32"/>
        </w:rPr>
        <w:t>设置的安全标志（包括交通、电气</w:t>
      </w:r>
      <w:r>
        <w:rPr>
          <w:rFonts w:hint="eastAsia" w:eastAsia="仿宋_GB2312"/>
          <w:sz w:val="32"/>
          <w:szCs w:val="32"/>
        </w:rPr>
        <w:t>、较大危险因素设施与场所</w:t>
      </w:r>
      <w:r>
        <w:rPr>
          <w:rFonts w:eastAsia="仿宋_GB2312"/>
          <w:sz w:val="32"/>
          <w:szCs w:val="32"/>
        </w:rPr>
        <w:t>）等进行符合性评价。</w:t>
      </w:r>
    </w:p>
    <w:p>
      <w:pPr>
        <w:spacing w:line="560" w:lineRule="exact"/>
        <w:outlineLvl w:val="2"/>
        <w:rPr>
          <w:rFonts w:eastAsia="黑体"/>
          <w:bCs/>
          <w:sz w:val="32"/>
          <w:szCs w:val="32"/>
        </w:rPr>
      </w:pPr>
      <w:bookmarkStart w:id="250" w:name="_Toc498519868"/>
      <w:bookmarkStart w:id="251" w:name="_Toc498299398"/>
      <w:bookmarkStart w:id="252" w:name="_Toc500007203"/>
      <w:r>
        <w:rPr>
          <w:rFonts w:eastAsia="黑体"/>
          <w:bCs/>
          <w:sz w:val="32"/>
          <w:szCs w:val="32"/>
        </w:rPr>
        <w:t>5.12.9</w:t>
      </w:r>
      <w:bookmarkEnd w:id="250"/>
      <w:bookmarkEnd w:id="251"/>
      <w:r>
        <w:rPr>
          <w:rFonts w:hint="eastAsia" w:eastAsia="黑体"/>
          <w:bCs/>
          <w:sz w:val="32"/>
          <w:szCs w:val="32"/>
        </w:rPr>
        <w:t>事故应急救援预案及演练</w:t>
      </w:r>
      <w:bookmarkEnd w:id="252"/>
    </w:p>
    <w:p>
      <w:pPr>
        <w:pStyle w:val="8"/>
        <w:spacing w:line="560" w:lineRule="exact"/>
        <w:ind w:firstLine="640"/>
        <w:rPr>
          <w:rFonts w:eastAsia="仿宋_GB2312"/>
          <w:sz w:val="32"/>
          <w:szCs w:val="32"/>
        </w:rPr>
      </w:pPr>
      <w:r>
        <w:rPr>
          <w:rFonts w:eastAsia="仿宋_GB2312"/>
          <w:sz w:val="32"/>
          <w:szCs w:val="32"/>
        </w:rPr>
        <w:t>对救护队或兼职救护队的人员组成，技术装备器材，应急预案，应急演练、培训及计划，应急资源等进行符合性评价。</w:t>
      </w:r>
    </w:p>
    <w:p>
      <w:pPr>
        <w:spacing w:line="560" w:lineRule="exact"/>
        <w:outlineLvl w:val="2"/>
        <w:rPr>
          <w:rFonts w:eastAsia="黑体"/>
          <w:bCs/>
          <w:sz w:val="32"/>
          <w:szCs w:val="32"/>
        </w:rPr>
      </w:pPr>
      <w:bookmarkStart w:id="253" w:name="_Toc498299399"/>
      <w:bookmarkStart w:id="254" w:name="_Toc500007204"/>
      <w:bookmarkStart w:id="255" w:name="_Toc498519869"/>
      <w:r>
        <w:rPr>
          <w:rFonts w:eastAsia="黑体"/>
          <w:bCs/>
          <w:sz w:val="32"/>
          <w:szCs w:val="32"/>
        </w:rPr>
        <w:t>5.12.10事故</w:t>
      </w:r>
      <w:bookmarkEnd w:id="253"/>
      <w:r>
        <w:rPr>
          <w:rFonts w:hint="eastAsia" w:eastAsia="黑体"/>
          <w:bCs/>
          <w:sz w:val="32"/>
          <w:szCs w:val="32"/>
        </w:rPr>
        <w:t>管理</w:t>
      </w:r>
      <w:bookmarkEnd w:id="254"/>
      <w:bookmarkEnd w:id="255"/>
    </w:p>
    <w:p>
      <w:pPr>
        <w:pStyle w:val="8"/>
        <w:spacing w:line="560" w:lineRule="exact"/>
        <w:ind w:firstLine="640"/>
        <w:rPr>
          <w:rFonts w:eastAsia="仿宋_GB2312"/>
          <w:sz w:val="32"/>
          <w:szCs w:val="32"/>
        </w:rPr>
      </w:pPr>
      <w:r>
        <w:rPr>
          <w:rFonts w:hint="eastAsia" w:eastAsia="仿宋_GB2312"/>
          <w:sz w:val="32"/>
          <w:szCs w:val="32"/>
        </w:rPr>
        <w:t>对试运行期间</w:t>
      </w:r>
      <w:r>
        <w:rPr>
          <w:rFonts w:eastAsia="仿宋_GB2312"/>
          <w:sz w:val="32"/>
          <w:szCs w:val="32"/>
        </w:rPr>
        <w:t>对事故</w:t>
      </w:r>
      <w:r>
        <w:rPr>
          <w:rFonts w:hint="eastAsia" w:eastAsia="仿宋_GB2312"/>
          <w:sz w:val="32"/>
          <w:szCs w:val="32"/>
        </w:rPr>
        <w:t>、</w:t>
      </w:r>
      <w:r>
        <w:rPr>
          <w:rFonts w:eastAsia="仿宋_GB2312"/>
          <w:sz w:val="32"/>
          <w:szCs w:val="32"/>
        </w:rPr>
        <w:t>事件的上报、登记、统计情况等进行符合性评价。</w:t>
      </w:r>
    </w:p>
    <w:p>
      <w:pPr>
        <w:spacing w:line="560" w:lineRule="exact"/>
        <w:outlineLvl w:val="1"/>
        <w:rPr>
          <w:rFonts w:eastAsia="黑体"/>
          <w:color w:val="000000"/>
          <w:sz w:val="32"/>
          <w:szCs w:val="32"/>
        </w:rPr>
      </w:pPr>
      <w:bookmarkStart w:id="256" w:name="_Toc498299400"/>
      <w:bookmarkStart w:id="257" w:name="_Toc500007205"/>
      <w:bookmarkStart w:id="258" w:name="_Toc498519870"/>
      <w:r>
        <w:rPr>
          <w:rFonts w:eastAsia="黑体"/>
          <w:color w:val="000000"/>
          <w:sz w:val="32"/>
          <w:szCs w:val="32"/>
        </w:rPr>
        <w:t>5.11其他安全设施单元</w:t>
      </w:r>
      <w:bookmarkEnd w:id="256"/>
      <w:bookmarkEnd w:id="257"/>
      <w:bookmarkEnd w:id="258"/>
    </w:p>
    <w:p>
      <w:pPr>
        <w:spacing w:line="560" w:lineRule="exact"/>
        <w:ind w:firstLine="640" w:firstLineChars="200"/>
        <w:rPr>
          <w:rFonts w:eastAsia="仿宋_GB2312"/>
          <w:kern w:val="0"/>
          <w:sz w:val="32"/>
          <w:szCs w:val="32"/>
        </w:rPr>
      </w:pPr>
      <w:r>
        <w:rPr>
          <w:rFonts w:eastAsia="仿宋_GB2312"/>
          <w:kern w:val="0"/>
          <w:sz w:val="32"/>
          <w:szCs w:val="32"/>
        </w:rPr>
        <w:t>阐述高温设备的保温措施；防护栏杆、检修平台、安全罩、围栏等防高空坠落、跌落的措施；各种安全通道、楼梯、钢梯的设置；煤气、氧气等及各种管线的标准化、规范化敷设及色标要求；安全色、安全告知卡等措施进行符合性评价。</w:t>
      </w:r>
    </w:p>
    <w:p>
      <w:pPr>
        <w:spacing w:line="560" w:lineRule="exact"/>
        <w:outlineLvl w:val="1"/>
        <w:rPr>
          <w:rFonts w:eastAsia="黑体"/>
          <w:color w:val="000000"/>
          <w:sz w:val="32"/>
          <w:szCs w:val="32"/>
        </w:rPr>
      </w:pPr>
      <w:bookmarkStart w:id="259" w:name="_Toc498519871"/>
      <w:bookmarkStart w:id="260" w:name="_Toc498299401"/>
      <w:bookmarkStart w:id="261" w:name="_Toc500007206"/>
      <w:r>
        <w:rPr>
          <w:rFonts w:eastAsia="黑体"/>
          <w:color w:val="000000"/>
          <w:sz w:val="32"/>
          <w:szCs w:val="32"/>
        </w:rPr>
        <w:t>5.12安全预评价报告、安全设施设计中安全对策措施建议采纳情况说明</w:t>
      </w:r>
      <w:bookmarkEnd w:id="259"/>
      <w:bookmarkEnd w:id="260"/>
      <w:bookmarkEnd w:id="261"/>
    </w:p>
    <w:p>
      <w:pPr>
        <w:spacing w:line="560" w:lineRule="exact"/>
        <w:ind w:firstLine="640" w:firstLineChars="200"/>
        <w:rPr>
          <w:rFonts w:eastAsia="仿宋_GB2312"/>
          <w:kern w:val="0"/>
          <w:sz w:val="32"/>
          <w:szCs w:val="32"/>
        </w:rPr>
      </w:pPr>
      <w:r>
        <w:rPr>
          <w:rFonts w:eastAsia="仿宋_GB2312"/>
          <w:kern w:val="0"/>
          <w:sz w:val="32"/>
          <w:szCs w:val="32"/>
        </w:rPr>
        <w:t>（1）简述</w:t>
      </w:r>
      <w:r>
        <w:rPr>
          <w:rFonts w:hint="eastAsia" w:eastAsia="仿宋_GB2312"/>
          <w:kern w:val="0"/>
          <w:sz w:val="32"/>
          <w:szCs w:val="32"/>
        </w:rPr>
        <w:t>金属冶炼</w:t>
      </w:r>
      <w:r>
        <w:rPr>
          <w:rFonts w:eastAsia="仿宋_GB2312"/>
          <w:kern w:val="0"/>
          <w:sz w:val="32"/>
          <w:szCs w:val="32"/>
        </w:rPr>
        <w:t>建设项目安全设施建设，与安全预评价报告、安全设施设计的工程内容、技术方案等是否与项目安全一致，如有变化应说明变化内容；</w:t>
      </w:r>
    </w:p>
    <w:p>
      <w:pPr>
        <w:spacing w:line="560" w:lineRule="exact"/>
        <w:ind w:firstLine="640" w:firstLineChars="200"/>
        <w:rPr>
          <w:rFonts w:eastAsia="仿宋_GB2312"/>
          <w:kern w:val="0"/>
          <w:sz w:val="32"/>
          <w:szCs w:val="32"/>
        </w:rPr>
      </w:pPr>
      <w:r>
        <w:rPr>
          <w:rFonts w:eastAsia="仿宋_GB2312"/>
          <w:kern w:val="0"/>
          <w:sz w:val="32"/>
          <w:szCs w:val="32"/>
        </w:rPr>
        <w:t>（2）分类列出本项目安全预评价报告、安全设施设计的主要结论、安全措施要求。对提出的安全对策措施建设情况</w:t>
      </w:r>
      <w:r>
        <w:rPr>
          <w:rFonts w:hint="eastAsia" w:eastAsia="仿宋_GB2312"/>
          <w:kern w:val="0"/>
          <w:sz w:val="32"/>
          <w:szCs w:val="32"/>
          <w:lang w:val="en-US" w:eastAsia="zh-CN"/>
        </w:rPr>
        <w:t>进行概述</w:t>
      </w:r>
      <w:r>
        <w:rPr>
          <w:rFonts w:eastAsia="仿宋_GB2312"/>
          <w:kern w:val="0"/>
          <w:sz w:val="32"/>
          <w:szCs w:val="32"/>
        </w:rPr>
        <w:t>；对未采纳进行建设的，说明原因、依据和对策措施。</w:t>
      </w:r>
    </w:p>
    <w:p>
      <w:pPr>
        <w:spacing w:line="560" w:lineRule="exact"/>
        <w:outlineLvl w:val="0"/>
        <w:rPr>
          <w:rFonts w:eastAsia="黑体"/>
          <w:bCs/>
          <w:sz w:val="32"/>
          <w:szCs w:val="32"/>
        </w:rPr>
      </w:pPr>
      <w:bookmarkStart w:id="262" w:name="_Toc498519872"/>
      <w:bookmarkStart w:id="263" w:name="_Toc500007207"/>
      <w:bookmarkStart w:id="264" w:name="_Toc498299402"/>
      <w:r>
        <w:rPr>
          <w:rFonts w:eastAsia="黑体"/>
          <w:bCs/>
          <w:sz w:val="32"/>
          <w:szCs w:val="32"/>
        </w:rPr>
        <w:t>6.安全对策措施建议</w:t>
      </w:r>
      <w:bookmarkEnd w:id="262"/>
      <w:bookmarkEnd w:id="263"/>
      <w:bookmarkEnd w:id="264"/>
    </w:p>
    <w:p>
      <w:pPr>
        <w:spacing w:line="560" w:lineRule="exact"/>
        <w:ind w:firstLine="640" w:firstLineChars="200"/>
        <w:rPr>
          <w:rFonts w:eastAsia="仿宋_GB2312"/>
          <w:sz w:val="32"/>
          <w:szCs w:val="32"/>
        </w:rPr>
      </w:pPr>
      <w:r>
        <w:rPr>
          <w:rFonts w:eastAsia="仿宋_GB2312"/>
          <w:sz w:val="32"/>
          <w:szCs w:val="32"/>
        </w:rPr>
        <w:t>根据安全设施验收评价中发现的问题或不足以及项目存在的特殊安全因素，依据国家安全生产相关法律法规、</w:t>
      </w:r>
      <w:r>
        <w:rPr>
          <w:rFonts w:hint="eastAsia" w:eastAsia="仿宋_GB2312"/>
          <w:sz w:val="32"/>
          <w:szCs w:val="32"/>
        </w:rPr>
        <w:t>部门规章及规范性文件和</w:t>
      </w:r>
      <w:r>
        <w:rPr>
          <w:rFonts w:eastAsia="仿宋_GB2312"/>
          <w:sz w:val="32"/>
          <w:szCs w:val="32"/>
        </w:rPr>
        <w:t>标准规范的要求，借鉴类似企业的安全生产经验，综合评价结果，提出相应的有针对性、实用性和可操作性对策措施与建议，并按照风险程度的高低进行解决方案的排序。</w:t>
      </w:r>
    </w:p>
    <w:p>
      <w:pPr>
        <w:spacing w:line="560" w:lineRule="exact"/>
        <w:outlineLvl w:val="0"/>
        <w:rPr>
          <w:rFonts w:eastAsia="黑体"/>
          <w:bCs/>
          <w:sz w:val="32"/>
          <w:szCs w:val="32"/>
        </w:rPr>
      </w:pPr>
      <w:bookmarkStart w:id="265" w:name="_Toc500007208"/>
      <w:bookmarkStart w:id="266" w:name="_Toc498299403"/>
      <w:bookmarkStart w:id="267" w:name="_Toc498519873"/>
      <w:r>
        <w:rPr>
          <w:rFonts w:eastAsia="黑体"/>
          <w:bCs/>
          <w:sz w:val="32"/>
          <w:szCs w:val="32"/>
        </w:rPr>
        <w:t>7.总体评价结论</w:t>
      </w:r>
      <w:bookmarkEnd w:id="265"/>
      <w:bookmarkEnd w:id="266"/>
      <w:bookmarkEnd w:id="267"/>
    </w:p>
    <w:p>
      <w:pPr>
        <w:spacing w:line="560" w:lineRule="exact"/>
        <w:ind w:firstLine="640" w:firstLineChars="200"/>
        <w:rPr>
          <w:rFonts w:eastAsia="仿宋_GB2312"/>
          <w:sz w:val="32"/>
          <w:szCs w:val="32"/>
        </w:rPr>
      </w:pPr>
      <w:r>
        <w:rPr>
          <w:rFonts w:hint="eastAsia" w:eastAsia="仿宋_GB2312"/>
          <w:sz w:val="32"/>
          <w:szCs w:val="32"/>
        </w:rPr>
        <w:t>安全评价机构应根据客观、公正、真实的原则，严谨、明确地作出评价结论，结论的内容应包括高度概括评价结果，从风险管理角度给出评价对象在评价时与国家有关安全生产法律法规、部门规章及</w:t>
      </w:r>
      <w:r>
        <w:rPr>
          <w:rFonts w:eastAsia="仿宋_GB2312"/>
          <w:sz w:val="32"/>
          <w:szCs w:val="32"/>
        </w:rPr>
        <w:t>规范性文件</w:t>
      </w:r>
      <w:r>
        <w:rPr>
          <w:rFonts w:hint="eastAsia" w:eastAsia="仿宋_GB2312"/>
          <w:sz w:val="32"/>
          <w:szCs w:val="32"/>
        </w:rPr>
        <w:t>和标准规范的符合性结论，给出事故发生的可能性和严重程度的预测性结论，以及采取安全对策措施后的安全状态等。</w:t>
      </w:r>
    </w:p>
    <w:p>
      <w:pPr>
        <w:spacing w:line="560" w:lineRule="exact"/>
        <w:outlineLvl w:val="0"/>
        <w:rPr>
          <w:rFonts w:eastAsia="黑体"/>
          <w:bCs/>
          <w:sz w:val="32"/>
          <w:szCs w:val="32"/>
        </w:rPr>
      </w:pPr>
      <w:bookmarkStart w:id="268" w:name="_Toc498519877"/>
      <w:bookmarkStart w:id="269" w:name="_Toc498299407"/>
      <w:bookmarkStart w:id="270" w:name="_Toc500007209"/>
      <w:r>
        <w:rPr>
          <w:rFonts w:eastAsia="黑体"/>
          <w:bCs/>
          <w:sz w:val="32"/>
          <w:szCs w:val="32"/>
        </w:rPr>
        <w:t>8.</w:t>
      </w:r>
      <w:bookmarkEnd w:id="268"/>
      <w:bookmarkEnd w:id="269"/>
      <w:r>
        <w:rPr>
          <w:rFonts w:hint="eastAsia" w:eastAsia="黑体"/>
          <w:bCs/>
          <w:sz w:val="32"/>
          <w:szCs w:val="32"/>
        </w:rPr>
        <w:t>附件</w:t>
      </w:r>
      <w:bookmarkEnd w:id="270"/>
    </w:p>
    <w:p>
      <w:pPr>
        <w:spacing w:line="560" w:lineRule="exact"/>
        <w:ind w:firstLine="640" w:firstLineChars="200"/>
        <w:rPr>
          <w:rFonts w:eastAsia="仿宋_GB2312"/>
          <w:sz w:val="32"/>
          <w:szCs w:val="32"/>
        </w:rPr>
      </w:pPr>
      <w:r>
        <w:rPr>
          <w:rFonts w:eastAsia="仿宋_GB2312"/>
          <w:sz w:val="32"/>
          <w:szCs w:val="32"/>
        </w:rPr>
        <w:t>金属冶炼建设项目安全设施验收评价需要提供如下资料：</w:t>
      </w:r>
    </w:p>
    <w:p>
      <w:pPr>
        <w:spacing w:line="560" w:lineRule="exact"/>
        <w:ind w:firstLine="640" w:firstLineChars="200"/>
        <w:rPr>
          <w:rFonts w:eastAsia="仿宋_GB2312"/>
          <w:sz w:val="32"/>
          <w:szCs w:val="32"/>
        </w:rPr>
      </w:pPr>
      <w:r>
        <w:rPr>
          <w:rFonts w:eastAsia="仿宋_GB2312"/>
          <w:sz w:val="32"/>
          <w:szCs w:val="32"/>
        </w:rPr>
        <w:t>（1）企业概况。</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eastAsia="仿宋_GB2312"/>
          <w:sz w:val="32"/>
          <w:szCs w:val="32"/>
        </w:rPr>
        <w:t>企业法人营业执照。</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立项批准文件（或核准、备案文件）。</w:t>
      </w:r>
    </w:p>
    <w:p>
      <w:pPr>
        <w:spacing w:line="560" w:lineRule="exact"/>
        <w:ind w:firstLine="640" w:firstLineChars="200"/>
        <w:rPr>
          <w:rFonts w:eastAsia="仿宋_GB2312"/>
          <w:sz w:val="32"/>
          <w:szCs w:val="32"/>
        </w:rPr>
      </w:pPr>
      <w:r>
        <w:rPr>
          <w:rFonts w:eastAsia="仿宋_GB2312"/>
          <w:sz w:val="32"/>
          <w:szCs w:val="32"/>
        </w:rPr>
        <w:t>（2）落实安全设施“三同时”程序文件。</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eastAsia="仿宋_GB2312"/>
          <w:sz w:val="32"/>
          <w:szCs w:val="32"/>
        </w:rPr>
        <w:t>安全预评价报告。</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项目《安全设施设计》评审意见和批复文件。</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eastAsia="仿宋_GB2312"/>
          <w:sz w:val="32"/>
          <w:szCs w:val="32"/>
        </w:rPr>
        <w:t>项目《安全设施设计》重大变更的评审意见和批复文件。</w:t>
      </w:r>
    </w:p>
    <w:p>
      <w:pPr>
        <w:spacing w:line="560" w:lineRule="exact"/>
        <w:ind w:firstLine="640" w:firstLineChars="200"/>
        <w:rPr>
          <w:rFonts w:eastAsia="仿宋_GB2312"/>
          <w:sz w:val="32"/>
          <w:szCs w:val="32"/>
        </w:rPr>
      </w:pPr>
      <w:r>
        <w:rPr>
          <w:rFonts w:eastAsia="仿宋_GB2312"/>
          <w:sz w:val="32"/>
          <w:szCs w:val="32"/>
        </w:rPr>
        <w:t>（3）项目技术文件。</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eastAsia="仿宋_GB2312"/>
          <w:sz w:val="32"/>
          <w:szCs w:val="32"/>
        </w:rPr>
        <w:t>项目初步设计。</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项目《安全设施设计》。</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eastAsia="仿宋_GB2312"/>
          <w:sz w:val="32"/>
          <w:szCs w:val="32"/>
        </w:rPr>
        <w:t>《安全设施设计》的设计变更通知单。</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④</w:t>
      </w:r>
      <w:r>
        <w:rPr>
          <w:rFonts w:eastAsia="仿宋_GB2312"/>
          <w:sz w:val="32"/>
          <w:szCs w:val="32"/>
        </w:rPr>
        <w:t>地质勘探报告、工程勘查报告、地质灾害危险性评估报告。</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⑤</w:t>
      </w:r>
      <w:r>
        <w:rPr>
          <w:rFonts w:eastAsia="仿宋_GB2312"/>
          <w:sz w:val="32"/>
          <w:szCs w:val="32"/>
        </w:rPr>
        <w:t>其他的一些专题性研究。</w:t>
      </w:r>
    </w:p>
    <w:p>
      <w:pPr>
        <w:spacing w:line="560" w:lineRule="exact"/>
        <w:ind w:firstLine="640" w:firstLineChars="200"/>
        <w:rPr>
          <w:rFonts w:eastAsia="仿宋_GB2312"/>
          <w:sz w:val="32"/>
          <w:szCs w:val="32"/>
        </w:rPr>
      </w:pPr>
      <w:r>
        <w:rPr>
          <w:rFonts w:eastAsia="仿宋_GB2312"/>
          <w:sz w:val="32"/>
          <w:szCs w:val="32"/>
        </w:rPr>
        <w:t>（4）项目建设情况。</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eastAsia="仿宋_GB2312"/>
          <w:sz w:val="32"/>
          <w:szCs w:val="32"/>
        </w:rPr>
        <w:t>施工单位资质。</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监理单位资质。</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eastAsia="仿宋_GB2312"/>
          <w:sz w:val="32"/>
          <w:szCs w:val="32"/>
        </w:rPr>
        <w:t>单项工程、单位工程验收资料，评级情况，工程质量认证资料。</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④</w:t>
      </w:r>
      <w:r>
        <w:rPr>
          <w:rFonts w:eastAsia="仿宋_GB2312"/>
          <w:sz w:val="32"/>
          <w:szCs w:val="32"/>
        </w:rPr>
        <w:t>隐蔽工程的检查验收记录。</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⑤</w:t>
      </w:r>
      <w:r>
        <w:rPr>
          <w:rFonts w:eastAsia="仿宋_GB2312"/>
          <w:sz w:val="32"/>
          <w:szCs w:val="32"/>
        </w:rPr>
        <w:t>施工总结和监理总结报告。</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反映安全设施实际情况的图纸</w:t>
      </w:r>
      <w:r>
        <w:rPr>
          <w:rFonts w:hint="eastAsia" w:eastAsia="仿宋_GB2312"/>
          <w:sz w:val="32"/>
          <w:szCs w:val="32"/>
        </w:rPr>
        <w:t>应包括以下图纸，可根据实际情况进行调整：</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hint="eastAsia" w:eastAsia="仿宋_GB2312"/>
          <w:sz w:val="32"/>
          <w:szCs w:val="32"/>
        </w:rPr>
        <w:t>建设项目区域位置图（标明与周边单位、社区等的距离）。</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hint="eastAsia" w:eastAsia="仿宋_GB2312"/>
          <w:sz w:val="32"/>
          <w:szCs w:val="32"/>
        </w:rPr>
        <w:t>总平面布置图（标明重大危险源以及重大伤亡半径、重点危险场所及设备设施的位置）。</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hint="eastAsia" w:eastAsia="仿宋_GB2312"/>
          <w:sz w:val="32"/>
          <w:szCs w:val="32"/>
        </w:rPr>
        <w:t>主要生产工艺布置图。</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④</w:t>
      </w:r>
      <w:r>
        <w:rPr>
          <w:rFonts w:hint="eastAsia" w:eastAsia="仿宋_GB2312"/>
          <w:sz w:val="32"/>
          <w:szCs w:val="32"/>
        </w:rPr>
        <w:t>工艺设备平面布置图（标明主要危险、有害因素，设备设施之间的安全间距和预留检修场地的情况）。</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⑤</w:t>
      </w:r>
      <w:r>
        <w:rPr>
          <w:rFonts w:hint="eastAsia" w:eastAsia="仿宋_GB2312"/>
          <w:sz w:val="32"/>
          <w:szCs w:val="32"/>
        </w:rPr>
        <w:t>主要管道布置图。</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⑥</w:t>
      </w:r>
      <w:r>
        <w:rPr>
          <w:rFonts w:hint="eastAsia" w:eastAsia="仿宋_GB2312"/>
          <w:sz w:val="32"/>
          <w:szCs w:val="32"/>
        </w:rPr>
        <w:t>重大安全设施变更图。</w:t>
      </w:r>
    </w:p>
    <w:p>
      <w:pPr>
        <w:spacing w:line="560" w:lineRule="exact"/>
        <w:ind w:firstLine="640" w:firstLineChars="200"/>
        <w:rPr>
          <w:rFonts w:eastAsia="仿宋_GB2312"/>
          <w:sz w:val="32"/>
          <w:szCs w:val="32"/>
        </w:rPr>
      </w:pPr>
      <w:r>
        <w:rPr>
          <w:rFonts w:hint="eastAsia" w:eastAsia="仿宋_GB2312"/>
          <w:sz w:val="32"/>
          <w:szCs w:val="32"/>
        </w:rPr>
        <w:t>没有竣工图不能组织验收。</w:t>
      </w:r>
    </w:p>
    <w:p>
      <w:pPr>
        <w:spacing w:line="560" w:lineRule="exact"/>
        <w:ind w:firstLine="640" w:firstLineChars="200"/>
        <w:rPr>
          <w:rFonts w:eastAsia="仿宋_GB2312"/>
          <w:sz w:val="32"/>
          <w:szCs w:val="32"/>
        </w:rPr>
      </w:pPr>
      <w:r>
        <w:rPr>
          <w:rFonts w:hint="eastAsia" w:eastAsia="仿宋_GB2312"/>
          <w:sz w:val="32"/>
          <w:szCs w:val="32"/>
        </w:rPr>
        <w:t>竣工图纸应与现场实际相符。竣工图应由施工单位按照实际的施工情况出图，且应有施工单位、监理单位的有关人员签字确认，并加盖相应单位公章。</w:t>
      </w:r>
    </w:p>
    <w:p>
      <w:pPr>
        <w:spacing w:line="560" w:lineRule="exact"/>
        <w:ind w:firstLine="640" w:firstLineChars="200"/>
        <w:rPr>
          <w:rFonts w:eastAsia="仿宋_GB2312"/>
          <w:sz w:val="32"/>
          <w:szCs w:val="32"/>
        </w:rPr>
      </w:pPr>
      <w:r>
        <w:rPr>
          <w:rFonts w:hint="eastAsia" w:eastAsia="仿宋_GB2312"/>
          <w:sz w:val="32"/>
          <w:szCs w:val="32"/>
        </w:rPr>
        <w:t>竣工图中的字体、线条和各种标记应清晰可读，签字齐全，有彩色内容的图纸宜采用彩图。</w:t>
      </w:r>
    </w:p>
    <w:p>
      <w:pPr>
        <w:spacing w:line="560" w:lineRule="exact"/>
        <w:ind w:firstLine="640" w:firstLineChars="200"/>
        <w:rPr>
          <w:rFonts w:eastAsia="仿宋_GB2312"/>
          <w:sz w:val="32"/>
          <w:szCs w:val="32"/>
        </w:rPr>
      </w:pPr>
      <w:r>
        <w:rPr>
          <w:rFonts w:hint="eastAsia" w:eastAsia="仿宋_GB2312"/>
          <w:sz w:val="32"/>
          <w:szCs w:val="32"/>
        </w:rPr>
        <w:t>如果项目竣工与原有施工图少于三处修改（包括增加、修改和删除）的地方，可以在原有施工图修改的地方手工标识、签字盖章后，原有施工图纸上加盖竣工章可以作为竣工图纸，其余施工图不能作为竣工图。</w:t>
      </w:r>
    </w:p>
    <w:p>
      <w:pPr>
        <w:spacing w:line="560" w:lineRule="exact"/>
        <w:ind w:firstLine="640" w:firstLineChars="200"/>
        <w:rPr>
          <w:rFonts w:eastAsia="仿宋_GB2312"/>
          <w:sz w:val="32"/>
          <w:szCs w:val="32"/>
        </w:rPr>
      </w:pPr>
      <w:r>
        <w:rPr>
          <w:rFonts w:eastAsia="仿宋_GB2312"/>
          <w:sz w:val="32"/>
          <w:szCs w:val="32"/>
        </w:rPr>
        <w:t>（6）安全设施说明（以具体的安全设施设计为准）。</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hint="eastAsia" w:eastAsia="仿宋_GB2312"/>
          <w:sz w:val="32"/>
          <w:szCs w:val="32"/>
        </w:rPr>
        <w:t>主要</w:t>
      </w:r>
      <w:r>
        <w:rPr>
          <w:rFonts w:eastAsia="仿宋_GB2312"/>
          <w:sz w:val="32"/>
          <w:szCs w:val="32"/>
        </w:rPr>
        <w:t>安全设施、设备、装置</w:t>
      </w:r>
      <w:r>
        <w:rPr>
          <w:rFonts w:hint="eastAsia" w:eastAsia="仿宋_GB2312"/>
          <w:sz w:val="32"/>
          <w:szCs w:val="32"/>
        </w:rPr>
        <w:t>及试运行情况</w:t>
      </w:r>
      <w:r>
        <w:rPr>
          <w:rFonts w:eastAsia="仿宋_GB2312"/>
          <w:sz w:val="32"/>
          <w:szCs w:val="32"/>
        </w:rPr>
        <w:t>。</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消防器材台账。</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eastAsia="仿宋_GB2312"/>
          <w:sz w:val="32"/>
          <w:szCs w:val="32"/>
        </w:rPr>
        <w:t>特种设备台账。</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④</w:t>
      </w:r>
      <w:r>
        <w:rPr>
          <w:rFonts w:eastAsia="仿宋_GB2312"/>
          <w:sz w:val="32"/>
          <w:szCs w:val="32"/>
        </w:rPr>
        <w:t>防爆电气、消防报警设施台账。</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⑤</w:t>
      </w:r>
      <w:r>
        <w:rPr>
          <w:rFonts w:eastAsia="仿宋_GB2312"/>
          <w:sz w:val="32"/>
          <w:szCs w:val="32"/>
        </w:rPr>
        <w:t>安全检验、检测和测定的数据资料及仪表、设施台账。</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⑥</w:t>
      </w:r>
      <w:r>
        <w:rPr>
          <w:rFonts w:eastAsia="仿宋_GB2312"/>
          <w:sz w:val="32"/>
          <w:szCs w:val="32"/>
        </w:rPr>
        <w:t>安全应急救援物资台账（含排土场应急物资）。</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⑦</w:t>
      </w:r>
      <w:r>
        <w:rPr>
          <w:rFonts w:eastAsia="仿宋_GB2312"/>
          <w:sz w:val="32"/>
          <w:szCs w:val="32"/>
        </w:rPr>
        <w:t>电气设备及井下电缆台账。</w:t>
      </w:r>
    </w:p>
    <w:p>
      <w:pPr>
        <w:spacing w:line="560" w:lineRule="exact"/>
        <w:ind w:firstLine="640" w:firstLineChars="200"/>
        <w:rPr>
          <w:rFonts w:eastAsia="仿宋_GB2312"/>
          <w:sz w:val="32"/>
          <w:szCs w:val="32"/>
        </w:rPr>
      </w:pPr>
      <w:r>
        <w:rPr>
          <w:rFonts w:eastAsia="仿宋_GB2312"/>
          <w:sz w:val="32"/>
          <w:szCs w:val="32"/>
        </w:rPr>
        <w:t>（8）安全管理资料。</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①</w:t>
      </w:r>
      <w:r>
        <w:rPr>
          <w:rFonts w:eastAsia="仿宋_GB2312"/>
          <w:sz w:val="32"/>
          <w:szCs w:val="32"/>
        </w:rPr>
        <w:t>安全生产管理机构、专职安全生产</w:t>
      </w:r>
      <w:r>
        <w:rPr>
          <w:rFonts w:hint="eastAsia" w:eastAsia="仿宋_GB2312"/>
          <w:sz w:val="32"/>
          <w:szCs w:val="32"/>
        </w:rPr>
        <w:t>管理</w:t>
      </w:r>
      <w:r>
        <w:rPr>
          <w:rFonts w:eastAsia="仿宋_GB2312"/>
          <w:sz w:val="32"/>
          <w:szCs w:val="32"/>
        </w:rPr>
        <w:t>人员聘任文件。</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②</w:t>
      </w:r>
      <w:r>
        <w:rPr>
          <w:rFonts w:eastAsia="仿宋_GB2312"/>
          <w:sz w:val="32"/>
          <w:szCs w:val="32"/>
        </w:rPr>
        <w:t>安全生产责任制。</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③</w:t>
      </w:r>
      <w:r>
        <w:rPr>
          <w:rFonts w:eastAsia="仿宋_GB2312"/>
          <w:sz w:val="32"/>
          <w:szCs w:val="32"/>
        </w:rPr>
        <w:t>安全生产管理规章制度。</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④</w:t>
      </w:r>
      <w:r>
        <w:rPr>
          <w:rFonts w:eastAsia="仿宋_GB2312"/>
          <w:sz w:val="32"/>
          <w:szCs w:val="32"/>
        </w:rPr>
        <w:t>事故应急救援预案、应急预案的备案表、应急预案的演练记录、总结。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eastAsia="仿宋_GB2312"/>
          <w:sz w:val="32"/>
          <w:szCs w:val="32"/>
        </w:rPr>
        <w:t>救护队相关人员名单、应急救援器材设备清单、救援协</w:t>
      </w:r>
      <w:r>
        <w:rPr>
          <w:rFonts w:hint="eastAsia" w:ascii="仿宋_GB2312" w:hAnsi="仿宋_GB2312" w:eastAsia="仿宋_GB2312" w:cs="仿宋_GB2312"/>
          <w:sz w:val="32"/>
          <w:szCs w:val="32"/>
        </w:rPr>
        <w:t>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⑥特殊工种培训、考核记录及其操作资格证书。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⑦安全检查记录、安全不符合项整改情况及其反馈、复查记录资料。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⑧为职工缴纳工伤保险的证明。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⑨安全教育、培训台账等资料。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⑩项目投资决算总额及安全设施投资表。</w:t>
      </w:r>
    </w:p>
    <w:p>
      <w:pPr>
        <w:tabs>
          <w:tab w:val="left" w:pos="993"/>
        </w:tabs>
        <w:spacing w:line="560" w:lineRule="exact"/>
        <w:ind w:left="0" w:leftChars="0" w:firstLine="548" w:firstLineChars="0"/>
        <w:rPr>
          <w:rFonts w:ascii="仿宋_GB2312" w:hAnsi="仿宋_GB2312" w:eastAsia="仿宋_GB2312" w:cs="仿宋_GB2312"/>
          <w:sz w:val="32"/>
          <w:szCs w:val="32"/>
        </w:rPr>
      </w:pPr>
      <w:r>
        <w:rPr>
          <w:rFonts w:hint="eastAsia" w:ascii="Cambria Math" w:hAnsi="Cambria Math" w:eastAsia="仿宋_GB2312"/>
          <w:sz w:val="24"/>
        </w:rPr>
        <w:t xml:space="preserve"> </w:t>
      </w:r>
      <w:r>
        <w:rPr>
          <w:rFonts w:ascii="Cambria Math" w:hAnsi="Cambria Math" w:eastAsia="仿宋_GB2312"/>
          <w:sz w:val="24"/>
        </w:rPr>
        <w:t>⑪</w:t>
      </w:r>
      <w:r>
        <w:rPr>
          <w:rFonts w:ascii="仿宋_GB2312" w:hAnsi="仿宋_GB2312" w:eastAsia="仿宋_GB2312" w:cs="仿宋_GB2312"/>
          <w:sz w:val="32"/>
          <w:szCs w:val="32"/>
        </w:rPr>
        <w:t>个人安全防护用品台账发放记录。</w:t>
      </w:r>
    </w:p>
    <w:p>
      <w:pPr>
        <w:spacing w:line="560" w:lineRule="exact"/>
        <w:ind w:left="0" w:leftChars="0" w:firstLine="440" w:firstLineChars="0"/>
        <w:rPr>
          <w:rFonts w:ascii="仿宋_GB2312" w:hAnsi="仿宋_GB2312" w:eastAsia="仿宋_GB2312" w:cs="仿宋_GB2312"/>
          <w:sz w:val="32"/>
          <w:szCs w:val="32"/>
        </w:rPr>
      </w:pPr>
      <w:r>
        <w:rPr>
          <w:rFonts w:hint="eastAsia" w:ascii="Cambria Math" w:hAnsi="Cambria Math" w:eastAsia="仿宋_GB2312"/>
          <w:sz w:val="24"/>
        </w:rPr>
        <w:t xml:space="preserve">  </w:t>
      </w:r>
      <w:r>
        <w:rPr>
          <w:rFonts w:ascii="Cambria Math" w:hAnsi="Cambria Math" w:eastAsia="仿宋_GB2312"/>
          <w:sz w:val="24"/>
        </w:rPr>
        <w:t>⑫</w:t>
      </w:r>
      <w:r>
        <w:rPr>
          <w:rFonts w:ascii="仿宋_GB2312" w:hAnsi="仿宋_GB2312" w:eastAsia="仿宋_GB2312" w:cs="仿宋_GB2312"/>
          <w:sz w:val="32"/>
          <w:szCs w:val="32"/>
        </w:rPr>
        <w:t>试运行期间生产安全事故情况。</w:t>
      </w:r>
    </w:p>
    <w:p>
      <w:pPr>
        <w:spacing w:line="560" w:lineRule="exact"/>
        <w:ind w:firstLine="440" w:firstLineChars="200"/>
        <w:rPr>
          <w:rFonts w:ascii="仿宋_GB2312" w:hAnsi="仿宋_GB2312" w:eastAsia="仿宋_GB2312" w:cs="仿宋_GB2312"/>
          <w:sz w:val="32"/>
          <w:szCs w:val="32"/>
        </w:rPr>
      </w:pPr>
      <w:r>
        <w:rPr>
          <w:rFonts w:hint="eastAsia" w:ascii="Cambria Math" w:hAnsi="Cambria Math" w:eastAsia="微软雅黑" w:cs="Cambria Math"/>
          <w:color w:val="333333"/>
          <w:sz w:val="22"/>
          <w:szCs w:val="22"/>
          <w:shd w:val="clear" w:color="auto" w:fill="FFFFFF"/>
        </w:rPr>
        <w:t xml:space="preserve">  </w:t>
      </w:r>
      <w:r>
        <w:rPr>
          <w:rFonts w:ascii="Cambria Math" w:hAnsi="Cambria Math" w:eastAsia="微软雅黑" w:cs="Cambria Math"/>
          <w:color w:val="333333"/>
          <w:sz w:val="22"/>
          <w:szCs w:val="22"/>
          <w:shd w:val="clear" w:color="auto" w:fill="FFFFFF"/>
        </w:rPr>
        <w:t>⑬</w:t>
      </w:r>
      <w:r>
        <w:rPr>
          <w:rFonts w:ascii="仿宋_GB2312" w:hAnsi="仿宋_GB2312" w:eastAsia="仿宋_GB2312" w:cs="仿宋_GB2312"/>
          <w:sz w:val="32"/>
          <w:szCs w:val="32"/>
        </w:rPr>
        <w:t>其</w:t>
      </w:r>
      <w:r>
        <w:rPr>
          <w:rFonts w:hint="eastAsia" w:ascii="仿宋_GB2312" w:hAnsi="仿宋_GB2312" w:eastAsia="仿宋_GB2312" w:cs="仿宋_GB2312"/>
          <w:sz w:val="32"/>
          <w:szCs w:val="32"/>
        </w:rPr>
        <w:t>他安全管理和安全技术措施</w:t>
      </w:r>
      <w:bookmarkStart w:id="271" w:name="_GoBack"/>
      <w:bookmarkEnd w:id="271"/>
      <w:r>
        <w:rPr>
          <w:rFonts w:hint="eastAsia" w:ascii="仿宋_GB2312" w:hAnsi="仿宋_GB2312" w:eastAsia="仿宋_GB2312" w:cs="仿宋_GB2312"/>
          <w:sz w:val="32"/>
          <w:szCs w:val="32"/>
        </w:rPr>
        <w:t>。</w:t>
      </w:r>
    </w:p>
    <w:p>
      <w:pPr>
        <w:spacing w:line="560" w:lineRule="exact"/>
        <w:ind w:firstLine="640" w:firstLineChars="200"/>
        <w:rPr>
          <w:rFonts w:eastAsia="仿宋_GB2312"/>
          <w:sz w:val="32"/>
          <w:szCs w:val="32"/>
        </w:rPr>
      </w:pPr>
      <w:r>
        <w:rPr>
          <w:rFonts w:eastAsia="仿宋_GB2312"/>
          <w:sz w:val="32"/>
          <w:szCs w:val="32"/>
        </w:rPr>
        <w:t>（9）安全设施验收评价所需的其他资料和数据。</w:t>
      </w:r>
    </w:p>
    <w:p>
      <w:pPr>
        <w:spacing w:line="560" w:lineRule="exact"/>
        <w:rPr>
          <w:rFonts w:eastAsia="仿宋_GB2312"/>
          <w:sz w:val="32"/>
          <w:szCs w:val="32"/>
        </w:rPr>
      </w:pPr>
    </w:p>
    <w:sectPr>
      <w:footerReference r:id="rId3" w:type="default"/>
      <w:footerReference r:id="rId4" w:type="even"/>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912"/>
      </w:tabs>
      <w:rPr>
        <w:sz w:val="24"/>
        <w:szCs w:val="24"/>
      </w:rPr>
    </w:pPr>
    <w:r>
      <w:rPr>
        <w:sz w:val="24"/>
        <w:szCs w:val="24"/>
      </w:rPr>
      <w:tab/>
    </w:r>
    <w:r>
      <w:rPr>
        <w:sz w:val="24"/>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jc w:val="cente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6283"/>
    <w:rsid w:val="0000066A"/>
    <w:rsid w:val="0001279F"/>
    <w:rsid w:val="000246BC"/>
    <w:rsid w:val="00033506"/>
    <w:rsid w:val="00040E8E"/>
    <w:rsid w:val="00057C0F"/>
    <w:rsid w:val="00065E2F"/>
    <w:rsid w:val="00071307"/>
    <w:rsid w:val="0007622D"/>
    <w:rsid w:val="0009271C"/>
    <w:rsid w:val="000944C1"/>
    <w:rsid w:val="000A5A22"/>
    <w:rsid w:val="000B0968"/>
    <w:rsid w:val="000B51FA"/>
    <w:rsid w:val="000B58D3"/>
    <w:rsid w:val="000E5F09"/>
    <w:rsid w:val="000F2F96"/>
    <w:rsid w:val="00105049"/>
    <w:rsid w:val="00122493"/>
    <w:rsid w:val="00130329"/>
    <w:rsid w:val="00140BB0"/>
    <w:rsid w:val="001412D2"/>
    <w:rsid w:val="00143247"/>
    <w:rsid w:val="00144538"/>
    <w:rsid w:val="00153139"/>
    <w:rsid w:val="00154ECF"/>
    <w:rsid w:val="00166A21"/>
    <w:rsid w:val="00167838"/>
    <w:rsid w:val="001701C0"/>
    <w:rsid w:val="00175F48"/>
    <w:rsid w:val="001821CE"/>
    <w:rsid w:val="00186A5B"/>
    <w:rsid w:val="0019702D"/>
    <w:rsid w:val="001B0A3F"/>
    <w:rsid w:val="001B4BEE"/>
    <w:rsid w:val="001C44A8"/>
    <w:rsid w:val="001C72F1"/>
    <w:rsid w:val="001E5A42"/>
    <w:rsid w:val="001F75F2"/>
    <w:rsid w:val="00203270"/>
    <w:rsid w:val="00204F59"/>
    <w:rsid w:val="00207CB9"/>
    <w:rsid w:val="0023145F"/>
    <w:rsid w:val="0023691D"/>
    <w:rsid w:val="0024234F"/>
    <w:rsid w:val="00243DA4"/>
    <w:rsid w:val="00271ACF"/>
    <w:rsid w:val="0027515B"/>
    <w:rsid w:val="002764C0"/>
    <w:rsid w:val="002848EF"/>
    <w:rsid w:val="0028670E"/>
    <w:rsid w:val="00287416"/>
    <w:rsid w:val="00287D96"/>
    <w:rsid w:val="00296BDE"/>
    <w:rsid w:val="0029788C"/>
    <w:rsid w:val="002A4251"/>
    <w:rsid w:val="002C1C8D"/>
    <w:rsid w:val="002C3395"/>
    <w:rsid w:val="002C483A"/>
    <w:rsid w:val="002D00AA"/>
    <w:rsid w:val="002D10E2"/>
    <w:rsid w:val="002D4AC3"/>
    <w:rsid w:val="00313F70"/>
    <w:rsid w:val="00316F0C"/>
    <w:rsid w:val="00317DD3"/>
    <w:rsid w:val="00323261"/>
    <w:rsid w:val="0032648C"/>
    <w:rsid w:val="00334BE6"/>
    <w:rsid w:val="0033527C"/>
    <w:rsid w:val="00335DAA"/>
    <w:rsid w:val="00337B7D"/>
    <w:rsid w:val="003440B0"/>
    <w:rsid w:val="003473BB"/>
    <w:rsid w:val="00356EBA"/>
    <w:rsid w:val="003603B4"/>
    <w:rsid w:val="003701F9"/>
    <w:rsid w:val="00374B9D"/>
    <w:rsid w:val="00385782"/>
    <w:rsid w:val="003872D8"/>
    <w:rsid w:val="00390F18"/>
    <w:rsid w:val="003913A2"/>
    <w:rsid w:val="00396E93"/>
    <w:rsid w:val="003A05A3"/>
    <w:rsid w:val="003A2639"/>
    <w:rsid w:val="003A5F4E"/>
    <w:rsid w:val="003A7743"/>
    <w:rsid w:val="003C65EE"/>
    <w:rsid w:val="003D20D5"/>
    <w:rsid w:val="003F6439"/>
    <w:rsid w:val="00406183"/>
    <w:rsid w:val="004061D9"/>
    <w:rsid w:val="00417757"/>
    <w:rsid w:val="00424DFE"/>
    <w:rsid w:val="004303FF"/>
    <w:rsid w:val="00450378"/>
    <w:rsid w:val="0045046B"/>
    <w:rsid w:val="00463541"/>
    <w:rsid w:val="00464A69"/>
    <w:rsid w:val="00472E46"/>
    <w:rsid w:val="004828AB"/>
    <w:rsid w:val="00487108"/>
    <w:rsid w:val="004A3548"/>
    <w:rsid w:val="004C097E"/>
    <w:rsid w:val="004C1B3E"/>
    <w:rsid w:val="004C1E1B"/>
    <w:rsid w:val="004C794E"/>
    <w:rsid w:val="004E16EF"/>
    <w:rsid w:val="004E1900"/>
    <w:rsid w:val="004F3444"/>
    <w:rsid w:val="00505AF2"/>
    <w:rsid w:val="00510002"/>
    <w:rsid w:val="00514CCA"/>
    <w:rsid w:val="005200B7"/>
    <w:rsid w:val="005261F8"/>
    <w:rsid w:val="00537114"/>
    <w:rsid w:val="0053732A"/>
    <w:rsid w:val="00553852"/>
    <w:rsid w:val="005538EB"/>
    <w:rsid w:val="005562A6"/>
    <w:rsid w:val="00573674"/>
    <w:rsid w:val="0057651E"/>
    <w:rsid w:val="00591715"/>
    <w:rsid w:val="00591B5E"/>
    <w:rsid w:val="00594C8C"/>
    <w:rsid w:val="005A4A44"/>
    <w:rsid w:val="005A64BF"/>
    <w:rsid w:val="005A7F47"/>
    <w:rsid w:val="005B1708"/>
    <w:rsid w:val="005B74C6"/>
    <w:rsid w:val="005C2D45"/>
    <w:rsid w:val="005C3D37"/>
    <w:rsid w:val="005C7B3D"/>
    <w:rsid w:val="005D0D5F"/>
    <w:rsid w:val="005D64CC"/>
    <w:rsid w:val="005E4A38"/>
    <w:rsid w:val="005F10B8"/>
    <w:rsid w:val="005F3B60"/>
    <w:rsid w:val="00611A15"/>
    <w:rsid w:val="006135F0"/>
    <w:rsid w:val="00622362"/>
    <w:rsid w:val="0062456E"/>
    <w:rsid w:val="006307D3"/>
    <w:rsid w:val="0063629A"/>
    <w:rsid w:val="00637765"/>
    <w:rsid w:val="00660DAC"/>
    <w:rsid w:val="00660FE1"/>
    <w:rsid w:val="006820EE"/>
    <w:rsid w:val="00687310"/>
    <w:rsid w:val="00696C1D"/>
    <w:rsid w:val="006A24E0"/>
    <w:rsid w:val="006A2FAC"/>
    <w:rsid w:val="006A502B"/>
    <w:rsid w:val="006B5782"/>
    <w:rsid w:val="006C01CE"/>
    <w:rsid w:val="006C3C69"/>
    <w:rsid w:val="006D518B"/>
    <w:rsid w:val="006E35DF"/>
    <w:rsid w:val="006E5D0C"/>
    <w:rsid w:val="00703A31"/>
    <w:rsid w:val="007161DF"/>
    <w:rsid w:val="00722BAA"/>
    <w:rsid w:val="00725469"/>
    <w:rsid w:val="00725EF0"/>
    <w:rsid w:val="00744F2F"/>
    <w:rsid w:val="00750EE0"/>
    <w:rsid w:val="00756556"/>
    <w:rsid w:val="00764731"/>
    <w:rsid w:val="0077260A"/>
    <w:rsid w:val="00785087"/>
    <w:rsid w:val="007866F2"/>
    <w:rsid w:val="007953F4"/>
    <w:rsid w:val="007A38DE"/>
    <w:rsid w:val="007A5788"/>
    <w:rsid w:val="007B1F63"/>
    <w:rsid w:val="007B7D36"/>
    <w:rsid w:val="007C0BD1"/>
    <w:rsid w:val="007D3AC7"/>
    <w:rsid w:val="007F202B"/>
    <w:rsid w:val="007F446A"/>
    <w:rsid w:val="007F74B5"/>
    <w:rsid w:val="00804E04"/>
    <w:rsid w:val="008055F0"/>
    <w:rsid w:val="00812191"/>
    <w:rsid w:val="00821A4D"/>
    <w:rsid w:val="00830B4B"/>
    <w:rsid w:val="0083475F"/>
    <w:rsid w:val="00841CCF"/>
    <w:rsid w:val="008435DC"/>
    <w:rsid w:val="0085013E"/>
    <w:rsid w:val="008529CD"/>
    <w:rsid w:val="00870E1C"/>
    <w:rsid w:val="00874271"/>
    <w:rsid w:val="00882C49"/>
    <w:rsid w:val="00885000"/>
    <w:rsid w:val="00891D7A"/>
    <w:rsid w:val="008936B0"/>
    <w:rsid w:val="00896018"/>
    <w:rsid w:val="008970B5"/>
    <w:rsid w:val="008A4DD0"/>
    <w:rsid w:val="008A72FB"/>
    <w:rsid w:val="008C0C5A"/>
    <w:rsid w:val="008C2171"/>
    <w:rsid w:val="008C5A41"/>
    <w:rsid w:val="008D6D64"/>
    <w:rsid w:val="008E710C"/>
    <w:rsid w:val="008F1195"/>
    <w:rsid w:val="0090480A"/>
    <w:rsid w:val="009178E6"/>
    <w:rsid w:val="009213F0"/>
    <w:rsid w:val="009274EE"/>
    <w:rsid w:val="0093089E"/>
    <w:rsid w:val="00936B6F"/>
    <w:rsid w:val="00940574"/>
    <w:rsid w:val="00943460"/>
    <w:rsid w:val="00945768"/>
    <w:rsid w:val="00946249"/>
    <w:rsid w:val="009464D2"/>
    <w:rsid w:val="00953D58"/>
    <w:rsid w:val="00963F4A"/>
    <w:rsid w:val="009671AE"/>
    <w:rsid w:val="00981CF3"/>
    <w:rsid w:val="0098648C"/>
    <w:rsid w:val="00987789"/>
    <w:rsid w:val="00992E7A"/>
    <w:rsid w:val="0099678D"/>
    <w:rsid w:val="009979A1"/>
    <w:rsid w:val="00997B5D"/>
    <w:rsid w:val="009A19B0"/>
    <w:rsid w:val="009A67BB"/>
    <w:rsid w:val="009A78DB"/>
    <w:rsid w:val="009B35A5"/>
    <w:rsid w:val="009C51B9"/>
    <w:rsid w:val="009C7FA9"/>
    <w:rsid w:val="009D2217"/>
    <w:rsid w:val="009D711A"/>
    <w:rsid w:val="009F3C0F"/>
    <w:rsid w:val="00A00BE3"/>
    <w:rsid w:val="00A0655C"/>
    <w:rsid w:val="00A14392"/>
    <w:rsid w:val="00A143DC"/>
    <w:rsid w:val="00A212CB"/>
    <w:rsid w:val="00A31A6A"/>
    <w:rsid w:val="00A57C04"/>
    <w:rsid w:val="00A65B50"/>
    <w:rsid w:val="00A84FAB"/>
    <w:rsid w:val="00A87246"/>
    <w:rsid w:val="00A87262"/>
    <w:rsid w:val="00A954BE"/>
    <w:rsid w:val="00AB07AB"/>
    <w:rsid w:val="00AB542B"/>
    <w:rsid w:val="00AC7B3E"/>
    <w:rsid w:val="00AD1589"/>
    <w:rsid w:val="00AD194C"/>
    <w:rsid w:val="00AE0C02"/>
    <w:rsid w:val="00AE197F"/>
    <w:rsid w:val="00AE345A"/>
    <w:rsid w:val="00AE5FED"/>
    <w:rsid w:val="00AE643C"/>
    <w:rsid w:val="00B1180C"/>
    <w:rsid w:val="00B11A81"/>
    <w:rsid w:val="00B1424E"/>
    <w:rsid w:val="00B16283"/>
    <w:rsid w:val="00B20D28"/>
    <w:rsid w:val="00B21763"/>
    <w:rsid w:val="00B2394D"/>
    <w:rsid w:val="00B2426B"/>
    <w:rsid w:val="00B32FD3"/>
    <w:rsid w:val="00B41BC4"/>
    <w:rsid w:val="00B4570B"/>
    <w:rsid w:val="00B5234B"/>
    <w:rsid w:val="00B64C4E"/>
    <w:rsid w:val="00B66F0E"/>
    <w:rsid w:val="00B73A5F"/>
    <w:rsid w:val="00B82C68"/>
    <w:rsid w:val="00B85A03"/>
    <w:rsid w:val="00B86300"/>
    <w:rsid w:val="00B94F29"/>
    <w:rsid w:val="00B95E6C"/>
    <w:rsid w:val="00BA233D"/>
    <w:rsid w:val="00BA42E1"/>
    <w:rsid w:val="00BA4DDE"/>
    <w:rsid w:val="00BA6103"/>
    <w:rsid w:val="00BB002B"/>
    <w:rsid w:val="00BB4E3D"/>
    <w:rsid w:val="00BB7D07"/>
    <w:rsid w:val="00BC14CC"/>
    <w:rsid w:val="00BD03BF"/>
    <w:rsid w:val="00BD2703"/>
    <w:rsid w:val="00BD4546"/>
    <w:rsid w:val="00BD6DD9"/>
    <w:rsid w:val="00BE1345"/>
    <w:rsid w:val="00BF2302"/>
    <w:rsid w:val="00BF3A45"/>
    <w:rsid w:val="00C01AF5"/>
    <w:rsid w:val="00C03328"/>
    <w:rsid w:val="00C06E6A"/>
    <w:rsid w:val="00C21B9B"/>
    <w:rsid w:val="00C342F8"/>
    <w:rsid w:val="00C36E42"/>
    <w:rsid w:val="00C474BB"/>
    <w:rsid w:val="00C526AD"/>
    <w:rsid w:val="00C54A21"/>
    <w:rsid w:val="00C54CD4"/>
    <w:rsid w:val="00C5513F"/>
    <w:rsid w:val="00C64115"/>
    <w:rsid w:val="00C65C64"/>
    <w:rsid w:val="00C765FD"/>
    <w:rsid w:val="00CA1BD1"/>
    <w:rsid w:val="00CA6290"/>
    <w:rsid w:val="00CB13BD"/>
    <w:rsid w:val="00CB5531"/>
    <w:rsid w:val="00CB7DBB"/>
    <w:rsid w:val="00CC0259"/>
    <w:rsid w:val="00CC4CB3"/>
    <w:rsid w:val="00CE209A"/>
    <w:rsid w:val="00CE2B2E"/>
    <w:rsid w:val="00CE3261"/>
    <w:rsid w:val="00CF0F26"/>
    <w:rsid w:val="00D06BCA"/>
    <w:rsid w:val="00D1670E"/>
    <w:rsid w:val="00D16A87"/>
    <w:rsid w:val="00D17D97"/>
    <w:rsid w:val="00D3055E"/>
    <w:rsid w:val="00D3419A"/>
    <w:rsid w:val="00D44C27"/>
    <w:rsid w:val="00D44E47"/>
    <w:rsid w:val="00D545E8"/>
    <w:rsid w:val="00D579C8"/>
    <w:rsid w:val="00D735E3"/>
    <w:rsid w:val="00D75A25"/>
    <w:rsid w:val="00DA0494"/>
    <w:rsid w:val="00DA1D9E"/>
    <w:rsid w:val="00DB0708"/>
    <w:rsid w:val="00DB1965"/>
    <w:rsid w:val="00DB1ECF"/>
    <w:rsid w:val="00DB3A79"/>
    <w:rsid w:val="00DB59A1"/>
    <w:rsid w:val="00DB6451"/>
    <w:rsid w:val="00DD233D"/>
    <w:rsid w:val="00DE2B6A"/>
    <w:rsid w:val="00DE2CB3"/>
    <w:rsid w:val="00DF4166"/>
    <w:rsid w:val="00E03EC5"/>
    <w:rsid w:val="00E15A7A"/>
    <w:rsid w:val="00E1794F"/>
    <w:rsid w:val="00E343F3"/>
    <w:rsid w:val="00E42DE8"/>
    <w:rsid w:val="00E44BAB"/>
    <w:rsid w:val="00E60A52"/>
    <w:rsid w:val="00E83C76"/>
    <w:rsid w:val="00E91124"/>
    <w:rsid w:val="00E9261D"/>
    <w:rsid w:val="00EA5749"/>
    <w:rsid w:val="00EB0875"/>
    <w:rsid w:val="00EC4120"/>
    <w:rsid w:val="00F1517C"/>
    <w:rsid w:val="00F242FA"/>
    <w:rsid w:val="00F303BA"/>
    <w:rsid w:val="00F33713"/>
    <w:rsid w:val="00F33B6E"/>
    <w:rsid w:val="00F452DB"/>
    <w:rsid w:val="00F5536D"/>
    <w:rsid w:val="00F55507"/>
    <w:rsid w:val="00F716BF"/>
    <w:rsid w:val="00F763D3"/>
    <w:rsid w:val="00F7684B"/>
    <w:rsid w:val="00FA05E7"/>
    <w:rsid w:val="00FB341B"/>
    <w:rsid w:val="00FB3D4E"/>
    <w:rsid w:val="00FB663A"/>
    <w:rsid w:val="00FB7A99"/>
    <w:rsid w:val="00FC4E0A"/>
    <w:rsid w:val="00FD5AC3"/>
    <w:rsid w:val="00FD77DE"/>
    <w:rsid w:val="00FE1D13"/>
    <w:rsid w:val="00FE717B"/>
    <w:rsid w:val="00FF15D0"/>
    <w:rsid w:val="00FF3F00"/>
    <w:rsid w:val="00FF5AB8"/>
    <w:rsid w:val="04976CD9"/>
    <w:rsid w:val="08435605"/>
    <w:rsid w:val="18BB4422"/>
    <w:rsid w:val="1B7E088B"/>
    <w:rsid w:val="249751F7"/>
    <w:rsid w:val="31B90BF7"/>
    <w:rsid w:val="32C123CF"/>
    <w:rsid w:val="480E173C"/>
    <w:rsid w:val="52987098"/>
    <w:rsid w:val="577034B7"/>
    <w:rsid w:val="59E244A3"/>
    <w:rsid w:val="5C087F56"/>
    <w:rsid w:val="625B0831"/>
    <w:rsid w:val="63EB185D"/>
    <w:rsid w:val="6D3D1DB6"/>
    <w:rsid w:val="7D695FC7"/>
    <w:rsid w:val="7F2F66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8">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3">
    <w:name w:val="toc 7"/>
    <w:basedOn w:val="1"/>
    <w:next w:val="1"/>
    <w:unhideWhenUsed/>
    <w:uiPriority w:val="39"/>
    <w:pPr>
      <w:ind w:left="2520" w:leftChars="1200"/>
    </w:pPr>
    <w:rPr>
      <w:rFonts w:asciiTheme="minorHAnsi" w:hAnsiTheme="minorHAnsi" w:eastAsiaTheme="minorEastAsia" w:cstheme="minorBidi"/>
      <w:szCs w:val="22"/>
    </w:rPr>
  </w:style>
  <w:style w:type="paragraph" w:styleId="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5">
    <w:name w:val="toc 3"/>
    <w:basedOn w:val="1"/>
    <w:next w:val="1"/>
    <w:unhideWhenUsed/>
    <w:qFormat/>
    <w:uiPriority w:val="39"/>
    <w:pPr>
      <w:spacing w:line="360" w:lineRule="auto"/>
      <w:ind w:left="420"/>
      <w:jc w:val="left"/>
    </w:pPr>
    <w:rPr>
      <w:iCs/>
      <w:szCs w:val="20"/>
    </w:rPr>
  </w:style>
  <w:style w:type="paragraph" w:styleId="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7">
    <w:name w:val="Date"/>
    <w:basedOn w:val="1"/>
    <w:next w:val="1"/>
    <w:link w:val="28"/>
    <w:unhideWhenUsed/>
    <w:qFormat/>
    <w:uiPriority w:val="99"/>
    <w:pPr>
      <w:ind w:left="100" w:leftChars="2500"/>
    </w:pPr>
  </w:style>
  <w:style w:type="paragraph" w:styleId="8">
    <w:name w:val="Body Text Indent 2"/>
    <w:basedOn w:val="1"/>
    <w:link w:val="25"/>
    <w:qFormat/>
    <w:uiPriority w:val="0"/>
    <w:pPr>
      <w:spacing w:line="420" w:lineRule="exact"/>
      <w:ind w:firstLine="480" w:firstLineChars="200"/>
    </w:pPr>
    <w:rPr>
      <w:sz w:val="24"/>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9">
    <w:name w:val="Hyperlink"/>
    <w:basedOn w:val="18"/>
    <w:unhideWhenUsed/>
    <w:qFormat/>
    <w:uiPriority w:val="99"/>
    <w:rPr>
      <w:color w:val="0000FF"/>
      <w:u w:val="single"/>
    </w:rPr>
  </w:style>
  <w:style w:type="character" w:customStyle="1" w:styleId="21">
    <w:name w:val="标题 1 Char"/>
    <w:basedOn w:val="18"/>
    <w:link w:val="2"/>
    <w:uiPriority w:val="9"/>
    <w:rPr>
      <w:rFonts w:ascii="Times New Roman" w:hAnsi="Times New Roman" w:eastAsia="宋体" w:cs="Times New Roman"/>
      <w:b/>
      <w:bCs/>
      <w:kern w:val="44"/>
      <w:sz w:val="44"/>
      <w:szCs w:val="44"/>
    </w:rPr>
  </w:style>
  <w:style w:type="character" w:customStyle="1" w:styleId="22">
    <w:name w:val="页眉 Char"/>
    <w:basedOn w:val="18"/>
    <w:link w:val="10"/>
    <w:qFormat/>
    <w:uiPriority w:val="99"/>
    <w:rPr>
      <w:sz w:val="18"/>
      <w:szCs w:val="18"/>
    </w:rPr>
  </w:style>
  <w:style w:type="character" w:customStyle="1" w:styleId="23">
    <w:name w:val="页脚 Char"/>
    <w:basedOn w:val="18"/>
    <w:link w:val="9"/>
    <w:uiPriority w:val="99"/>
    <w:rPr>
      <w:sz w:val="18"/>
      <w:szCs w:val="18"/>
    </w:rPr>
  </w:style>
  <w:style w:type="paragraph" w:customStyle="1" w:styleId="24">
    <w:name w:val="样式 宋体 小二 加粗 居中 行距: 固定值 28 磅"/>
    <w:basedOn w:val="1"/>
    <w:uiPriority w:val="0"/>
    <w:pPr>
      <w:spacing w:line="560" w:lineRule="exact"/>
      <w:jc w:val="center"/>
    </w:pPr>
    <w:rPr>
      <w:rFonts w:ascii="宋体" w:hAnsi="宋体" w:cs="宋体"/>
      <w:b/>
      <w:bCs/>
      <w:sz w:val="36"/>
      <w:szCs w:val="20"/>
    </w:rPr>
  </w:style>
  <w:style w:type="character" w:customStyle="1" w:styleId="25">
    <w:name w:val="正文文本缩进 2 Char"/>
    <w:basedOn w:val="18"/>
    <w:link w:val="8"/>
    <w:qFormat/>
    <w:uiPriority w:val="0"/>
    <w:rPr>
      <w:rFonts w:ascii="Times New Roman" w:hAnsi="Times New Roman" w:eastAsia="宋体" w:cs="Times New Roman"/>
      <w:sz w:val="24"/>
      <w:szCs w:val="24"/>
    </w:rPr>
  </w:style>
  <w:style w:type="paragraph" w:customStyle="1" w:styleId="26">
    <w:name w:val="Char"/>
    <w:basedOn w:val="1"/>
    <w:semiHidden/>
    <w:uiPriority w:val="0"/>
    <w:pPr>
      <w:ind w:left="-48"/>
    </w:pPr>
  </w:style>
  <w:style w:type="paragraph" w:styleId="27">
    <w:name w:val="List Paragraph"/>
    <w:basedOn w:val="1"/>
    <w:qFormat/>
    <w:uiPriority w:val="34"/>
    <w:pPr>
      <w:ind w:firstLine="420" w:firstLineChars="200"/>
    </w:pPr>
  </w:style>
  <w:style w:type="character" w:customStyle="1" w:styleId="28">
    <w:name w:val="日期 Char"/>
    <w:basedOn w:val="18"/>
    <w:link w:val="7"/>
    <w:semiHidden/>
    <w:qFormat/>
    <w:uiPriority w:val="99"/>
    <w:rPr>
      <w:rFonts w:ascii="Times New Roman" w:hAnsi="Times New Roman" w:eastAsia="宋体" w:cs="Times New Roman"/>
      <w:szCs w:val="24"/>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未处理的提及1"/>
    <w:basedOn w:val="18"/>
    <w:unhideWhenUsed/>
    <w:qFormat/>
    <w:uiPriority w:val="99"/>
    <w:rPr>
      <w:color w:val="808080"/>
      <w:shd w:val="clear" w:color="auto" w:fill="E6E6E6"/>
    </w:rPr>
  </w:style>
  <w:style w:type="character" w:customStyle="1" w:styleId="31">
    <w:name w:val="Unresolved Mention"/>
    <w:basedOn w:val="18"/>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EA5D8-35D9-49DC-B990-FFAD1206B2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8996</Words>
  <Characters>9309</Characters>
  <Lines>68</Lines>
  <Paragraphs>19</Paragraphs>
  <TotalTime>0</TotalTime>
  <ScaleCrop>false</ScaleCrop>
  <LinksUpToDate>false</LinksUpToDate>
  <CharactersWithSpaces>9314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2017-12-15T07:34:00Z</dcterms:created>
  <dc:creator>沈星</dc:creator>
  <cp:lastModifiedBy>蝴蝶酥</cp:lastModifiedBy>
  <cp:lastPrinted>2017-12-15T09:43:00Z</cp:lastPrinted>
  <dcterms:modified xsi:type="dcterms:W3CDTF">2017-12-20T05:57:43Z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