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港口危险货物作业附证</w:t>
      </w:r>
    </w:p>
    <w:bookmarkEnd w:id="0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编号：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港口经营人：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作业区域范围：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  <w:t>审验情况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5582920</wp:posOffset>
                </wp:positionH>
                <wp:positionV relativeFrom="paragraph">
                  <wp:posOffset>99060</wp:posOffset>
                </wp:positionV>
                <wp:extent cx="2856230" cy="1279525"/>
                <wp:effectExtent l="4445" t="4445" r="15875" b="1143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230" cy="1279525"/>
                          <a:chOff x="0" y="0"/>
                          <a:chExt cx="4498" cy="2015"/>
                        </a:xfrm>
                      </wpg:grpSpPr>
                      <wps:wsp>
                        <wps:cNvPr id="1" name="矩形 4"/>
                        <wps:cNvSpPr/>
                        <wps:spPr>
                          <a:xfrm>
                            <a:off x="0" y="0"/>
                            <a:ext cx="2249" cy="2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  <w:t>盖章：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  <w:t>日期：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5"/>
                        <wps:cNvSpPr/>
                        <wps:spPr>
                          <a:xfrm>
                            <a:off x="2250" y="1"/>
                            <a:ext cx="2249" cy="2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  <w:t>盖章：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sz w:val="32"/>
                                  <w:lang w:eastAsia="zh-CN"/>
                                </w:rPr>
                                <w:t>日期：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39.6pt;margin-top:7.8pt;height:100.75pt;width:224.9pt;z-index:251658240;mso-width-relative:page;mso-height-relative:page;" coordsize="4498,2015" o:gfxdata="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tLTCk2gAAAAsBAAAPAAAAAAAAAAEAIAAAACIAAABkcnMvZG93&#10;bnJldi54bWxQSwECFAAUAAAACACHTuJAa52rx3ACAABKBwAADgAAAAAAAAABACAAAAApAQAAZHJz&#10;L2Uyb0RvYy54bWxQSwUGAAAAAAYABgBZAQAACwYAAAAA&#10;">
                <o:lock v:ext="edit" grouping="f" rotation="f" text="f" aspectratio="f"/>
                <v:rect id="矩形 4" o:spid="_x0000_s1026" o:spt="1" style="position:absolute;left:0;top:0;height:2014;width:2249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  <w:t>盖章：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  <w:t>日期：</w:t>
                        </w:r>
                      </w:p>
                    </w:txbxContent>
                  </v:textbox>
                </v:rect>
                <v:rect id="矩形 5" o:spid="_x0000_s1026" o:spt="1" style="position:absolute;left:2250;top:1;height:2014;width:2249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  <w:t>盖章：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sz w:val="32"/>
                            <w:lang w:eastAsia="zh-CN"/>
                          </w:rPr>
                          <w:t>日期：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作业方式：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作业危险货物品名：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发证机关：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发证日期：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t>有效期至：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港口危险货物作业附证填写说明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一、《港口危险货物作业附证》纸张大小设定为A4格式，外观设计背景加国徽、底纹等。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附证编号：由各地港口行政管理部门按照《港口经营许可证》号后加“—”再加具体的码头（泊位）（M表示）、储罐（C表示）、堆场（D表示）、仓库（K表示）、过驳（B表示）汉语拼音字母缩写表示。例：（苏宁）港经证（00026）号—M001; （苏宁）港经证（00026）号—C001; （苏宁）港经证（00026）号—D001；（苏宁）港经证（00026）号—K001; （苏宁）港经证（00026）号—B001。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作业区域范围：由港口行政管理部门和港口经营人共同确定，分为码头（泊位）、单个储罐、堆场、仓库、过驳区五种作业区域范围，分别发放附证，并明确作业区域的位置，以及泊位等级、储罐容量、堆场面积、仓库面积、过驳水域面积等。例：南京港XX港区XX作业区608码头（5000吨级）；南京港XX港区XX作业区XX储罐区XX号储罐（5万立方）；南京港XX港区XX作业区XX危险货物堆场（1万平方米），南京港XX港区XX作业区XX危险货物仓库（1万平方米）,南京港XX港区XX水域XX过驳锚地（5平方公里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四、作业方式：如船—管道，船—管道—储罐；储罐—管道—船，船—船等方式。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作业危险货物品名：根据《危险货物品名表》（GB12268）和《国际海运危险货物规则》《国际海运固体散装货物规则》《经1978年议定书修订的1973年国际防止船舶造成污染公约》《国际散装危险化学品船舶构造和设备规则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</w:rPr>
        <w:t>国际散装液化气体船舶构造和设备规则》最新版填写具体的作业品种名称（集装箱和包装货物载明到“项别”）。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审验情况：《港口经营许可证》有效期为3年，附证随《港口经营许可证》同时发放，有效期为3年，分为两个审验年度，审验通过要加盖单位印章，第3年到期时由港口经营人向港口行政管理部门提出申请换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/>
        <w:ind w:left="0" w:leftChars="0" w:right="0" w:rightChars="0"/>
        <w:textAlignment w:val="auto"/>
        <w:rPr>
          <w:rFonts w:hint="eastAsia" w:ascii="宋体" w:hAnsi="宋体" w:eastAsia="宋体" w:cs="宋体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21"/>
          <w:szCs w:val="21"/>
          <w:u w:val="none" w:color="000000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25C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2016-09-01T02:13:33Z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